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C3FE" w14:textId="06D3B6BA" w:rsidR="00D71CCF" w:rsidRPr="00183A28" w:rsidRDefault="00FD6FD0" w:rsidP="00E5651B">
      <w:pPr>
        <w:jc w:val="center"/>
        <w:rPr>
          <w:sz w:val="28"/>
          <w:szCs w:val="28"/>
          <w:lang w:val="en-CA"/>
        </w:rPr>
      </w:pPr>
      <w:r w:rsidRPr="00183A28">
        <w:rPr>
          <w:noProof/>
          <w:lang w:val="en-CA" w:eastAsia="en-CA"/>
        </w:rPr>
        <w:drawing>
          <wp:anchor distT="0" distB="0" distL="114300" distR="114300" simplePos="0" relativeHeight="251661312" behindDoc="0" locked="0" layoutInCell="1" allowOverlap="1" wp14:anchorId="1055918E" wp14:editId="0315C44F">
            <wp:simplePos x="0" y="0"/>
            <wp:positionH relativeFrom="margin">
              <wp:posOffset>-31806</wp:posOffset>
            </wp:positionH>
            <wp:positionV relativeFrom="paragraph">
              <wp:posOffset>-428294</wp:posOffset>
            </wp:positionV>
            <wp:extent cx="3519170" cy="890547"/>
            <wp:effectExtent l="0" t="0" r="5080" b="5080"/>
            <wp:wrapNone/>
            <wp:docPr id="3" name="Picture 6" descr="OODP_Positive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DP_Positive_4Col.jpg"/>
                    <pic:cNvPicPr/>
                  </pic:nvPicPr>
                  <pic:blipFill>
                    <a:blip r:embed="rId8"/>
                    <a:stretch>
                      <a:fillRect/>
                    </a:stretch>
                  </pic:blipFill>
                  <pic:spPr>
                    <a:xfrm>
                      <a:off x="0" y="0"/>
                      <a:ext cx="3519170" cy="890547"/>
                    </a:xfrm>
                    <a:prstGeom prst="rect">
                      <a:avLst/>
                    </a:prstGeom>
                  </pic:spPr>
                </pic:pic>
              </a:graphicData>
            </a:graphic>
            <wp14:sizeRelH relativeFrom="margin">
              <wp14:pctWidth>0</wp14:pctWidth>
            </wp14:sizeRelH>
            <wp14:sizeRelV relativeFrom="margin">
              <wp14:pctHeight>0</wp14:pctHeight>
            </wp14:sizeRelV>
          </wp:anchor>
        </w:drawing>
      </w:r>
    </w:p>
    <w:p w14:paraId="757ED431" w14:textId="353D38F4" w:rsidR="00D71CCF" w:rsidRPr="00183A28" w:rsidRDefault="00D71CCF" w:rsidP="00E5651B">
      <w:pPr>
        <w:jc w:val="center"/>
        <w:rPr>
          <w:sz w:val="28"/>
          <w:szCs w:val="28"/>
          <w:lang w:val="en-CA"/>
        </w:rPr>
      </w:pPr>
    </w:p>
    <w:p w14:paraId="60E6FCC1" w14:textId="411A04E9" w:rsidR="003A4F8B" w:rsidRPr="00183A28" w:rsidRDefault="003A4F8B" w:rsidP="00E5651B">
      <w:pPr>
        <w:jc w:val="center"/>
        <w:rPr>
          <w:b/>
          <w:bCs/>
          <w:sz w:val="28"/>
          <w:szCs w:val="28"/>
          <w:lang w:val="en-CA"/>
        </w:rPr>
      </w:pPr>
    </w:p>
    <w:p w14:paraId="426F9012" w14:textId="3A6EA506" w:rsidR="00657877" w:rsidRPr="00183A28" w:rsidRDefault="00560BE5" w:rsidP="00E5651B">
      <w:pPr>
        <w:jc w:val="center"/>
        <w:rPr>
          <w:b/>
          <w:bCs/>
          <w:sz w:val="28"/>
          <w:szCs w:val="28"/>
          <w:lang w:val="en-CA"/>
        </w:rPr>
      </w:pPr>
      <w:r w:rsidRPr="00183A28">
        <w:rPr>
          <w:rFonts w:ascii="Calibri" w:hAnsi="Calibri" w:cs="Calibri"/>
          <w:noProof/>
          <w:lang w:val="en-CA" w:eastAsia="en-CA"/>
        </w:rPr>
        <mc:AlternateContent>
          <mc:Choice Requires="wps">
            <w:drawing>
              <wp:anchor distT="0" distB="0" distL="114300" distR="114300" simplePos="0" relativeHeight="251663360" behindDoc="0" locked="0" layoutInCell="1" allowOverlap="1" wp14:anchorId="477FAB52" wp14:editId="06C89C4F">
                <wp:simplePos x="0" y="0"/>
                <wp:positionH relativeFrom="page">
                  <wp:align>right</wp:align>
                </wp:positionH>
                <wp:positionV relativeFrom="paragraph">
                  <wp:posOffset>233045</wp:posOffset>
                </wp:positionV>
                <wp:extent cx="10050780" cy="2811780"/>
                <wp:effectExtent l="0" t="0" r="7620" b="7620"/>
                <wp:wrapThrough wrapText="bothSides">
                  <wp:wrapPolygon edited="0">
                    <wp:start x="0" y="0"/>
                    <wp:lineTo x="0" y="21512"/>
                    <wp:lineTo x="21575" y="21512"/>
                    <wp:lineTo x="21575"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0780" cy="2811780"/>
                        </a:xfrm>
                        <a:prstGeom prst="rect">
                          <a:avLst/>
                        </a:prstGeom>
                        <a:solidFill>
                          <a:srgbClr val="C4262E"/>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07C9B" id="Rectangle 6" o:spid="_x0000_s1026" style="position:absolute;margin-left:740.2pt;margin-top:18.35pt;width:791.4pt;height:221.4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" fillcolor="#c4262e" stroked="f">
                <v:textbox inset=",7.2pt,,7.2pt"/>
                <w10:wrap type="through" anchorx="page"/>
              </v:rect>
            </w:pict>
          </mc:Fallback>
        </mc:AlternateContent>
      </w:r>
    </w:p>
    <w:p w14:paraId="6224BFCF" w14:textId="66322096" w:rsidR="00F93A59" w:rsidRPr="00183A28" w:rsidRDefault="002C14BF" w:rsidP="0009454F">
      <w:pPr>
        <w:jc w:val="center"/>
        <w:rPr>
          <w:lang w:val="en-CA"/>
        </w:rPr>
        <w:sectPr w:rsidR="00F93A59" w:rsidRPr="00183A28" w:rsidSect="006C395E">
          <w:pgSz w:w="15840" w:h="12240" w:orient="landscape" w:code="1"/>
          <w:pgMar w:top="1440" w:right="1440" w:bottom="1440" w:left="1440" w:header="706" w:footer="706" w:gutter="0"/>
          <w:cols w:space="708"/>
          <w:docGrid w:linePitch="360"/>
        </w:sectPr>
      </w:pPr>
      <w:r w:rsidRPr="00183A28">
        <w:rPr>
          <w:rFonts w:ascii="Calibri" w:hAnsi="Calibri" w:cs="Calibri"/>
          <w:noProof/>
          <w:lang w:val="en-CA" w:eastAsia="en-CA"/>
        </w:rPr>
        <mc:AlternateContent>
          <mc:Choice Requires="wps">
            <w:drawing>
              <wp:anchor distT="0" distB="0" distL="114300" distR="114300" simplePos="0" relativeHeight="251666432" behindDoc="0" locked="0" layoutInCell="1" allowOverlap="1" wp14:anchorId="4B2C90F0" wp14:editId="6FFBE028">
                <wp:simplePos x="0" y="0"/>
                <wp:positionH relativeFrom="margin">
                  <wp:posOffset>3707130</wp:posOffset>
                </wp:positionH>
                <wp:positionV relativeFrom="paragraph">
                  <wp:posOffset>3140710</wp:posOffset>
                </wp:positionV>
                <wp:extent cx="4524375" cy="1931670"/>
                <wp:effectExtent l="0" t="0" r="0" b="0"/>
                <wp:wrapTight wrapText="bothSides">
                  <wp:wrapPolygon edited="0">
                    <wp:start x="182" y="639"/>
                    <wp:lineTo x="182" y="20876"/>
                    <wp:lineTo x="21282" y="20876"/>
                    <wp:lineTo x="21282" y="639"/>
                    <wp:lineTo x="182" y="639"/>
                  </wp:wrapPolygon>
                </wp:wrapTight>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9316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D671EA" w14:textId="77777777" w:rsidR="0026479E" w:rsidRDefault="00560BE5" w:rsidP="0026479E">
                            <w:pPr>
                              <w:pStyle w:val="NoSpacing"/>
                              <w:rPr>
                                <w:rFonts w:asciiTheme="minorHAnsi" w:hAnsiTheme="minorHAnsi" w:cstheme="minorHAnsi"/>
                                <w:sz w:val="36"/>
                                <w:szCs w:val="36"/>
                              </w:rPr>
                            </w:pPr>
                            <w:r w:rsidRPr="0026479E">
                              <w:rPr>
                                <w:rFonts w:asciiTheme="minorHAnsi" w:hAnsiTheme="minorHAnsi" w:cstheme="minorHAnsi"/>
                                <w:sz w:val="36"/>
                                <w:szCs w:val="36"/>
                              </w:rPr>
                              <w:t xml:space="preserve">Prepared by: </w:t>
                            </w:r>
                            <w:r w:rsidR="0026479E" w:rsidRPr="0026479E">
                              <w:rPr>
                                <w:rFonts w:asciiTheme="minorHAnsi" w:hAnsiTheme="minorHAnsi" w:cstheme="minorHAnsi"/>
                                <w:sz w:val="36"/>
                                <w:szCs w:val="36"/>
                              </w:rPr>
                              <w:t>Carolina Berinstein</w:t>
                            </w:r>
                          </w:p>
                          <w:p w14:paraId="5728B5C5" w14:textId="5491D6D4" w:rsidR="0026479E" w:rsidRPr="0026479E" w:rsidRDefault="0026479E" w:rsidP="0026479E">
                            <w:pPr>
                              <w:pStyle w:val="NoSpacing"/>
                              <w:rPr>
                                <w:rFonts w:asciiTheme="minorHAnsi" w:hAnsiTheme="minorHAnsi" w:cstheme="minorHAnsi"/>
                                <w:sz w:val="36"/>
                                <w:szCs w:val="36"/>
                              </w:rPr>
                            </w:pPr>
                            <w:r>
                              <w:rPr>
                                <w:rFonts w:asciiTheme="minorHAnsi" w:hAnsiTheme="minorHAnsi" w:cstheme="minorHAnsi"/>
                                <w:sz w:val="36"/>
                                <w:szCs w:val="36"/>
                              </w:rPr>
                              <w:t xml:space="preserve">Edited by: </w:t>
                            </w:r>
                            <w:r w:rsidRPr="0026479E">
                              <w:rPr>
                                <w:rFonts w:asciiTheme="minorHAnsi" w:hAnsiTheme="minorHAnsi" w:cstheme="minorHAnsi"/>
                                <w:sz w:val="36"/>
                                <w:szCs w:val="36"/>
                              </w:rPr>
                              <w:t>Dionne Falconer, OODP Consultant</w:t>
                            </w:r>
                            <w:r w:rsidR="008A253B">
                              <w:rPr>
                                <w:rFonts w:asciiTheme="minorHAnsi" w:hAnsiTheme="minorHAnsi" w:cstheme="minorHAnsi"/>
                                <w:sz w:val="36"/>
                                <w:szCs w:val="36"/>
                              </w:rPr>
                              <w:t xml:space="preserve"> and Janine Manning, Consultant </w:t>
                            </w:r>
                          </w:p>
                          <w:p w14:paraId="57D57569" w14:textId="6BF023B2" w:rsidR="00560BE5" w:rsidRPr="0026479E" w:rsidRDefault="0026479E" w:rsidP="0026479E">
                            <w:pPr>
                              <w:pStyle w:val="NoSpacing"/>
                              <w:rPr>
                                <w:rFonts w:asciiTheme="minorHAnsi" w:hAnsiTheme="minorHAnsi" w:cstheme="minorHAnsi"/>
                                <w:sz w:val="36"/>
                                <w:szCs w:val="36"/>
                              </w:rPr>
                            </w:pPr>
                            <w:r w:rsidRPr="0026479E">
                              <w:rPr>
                                <w:rFonts w:asciiTheme="minorHAnsi" w:hAnsiTheme="minorHAnsi" w:cstheme="minorHAnsi"/>
                                <w:sz w:val="36"/>
                                <w:szCs w:val="36"/>
                              </w:rPr>
                              <w:t>October, 2023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C90F0" id="_x0000_t202" coordsize="21600,21600" o:spt="202" path="m,l,21600r21600,l21600,xe">
                <v:stroke joinstyle="miter"/>
                <v:path gradientshapeok="t" o:connecttype="rect"/>
              </v:shapetype>
              <v:shape id="Text Box 44" o:spid="_x0000_s1026" type="#_x0000_t202" style="position:absolute;left:0;text-align:left;margin-left:291.9pt;margin-top:247.3pt;width:356.25pt;height:15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" filled="f" stroked="f">
                <v:textbox inset=",7.2pt,,7.2pt">
                  <w:txbxContent>
                    <w:p w14:paraId="4AD671EA" w14:textId="77777777" w:rsidR="0026479E" w:rsidRDefault="00560BE5" w:rsidP="0026479E">
                      <w:pPr>
                        <w:pStyle w:val="NoSpacing"/>
                        <w:rPr>
                          <w:rFonts w:asciiTheme="minorHAnsi" w:hAnsiTheme="minorHAnsi" w:cstheme="minorHAnsi"/>
                          <w:sz w:val="36"/>
                          <w:szCs w:val="36"/>
                        </w:rPr>
                      </w:pPr>
                      <w:r w:rsidRPr="0026479E">
                        <w:rPr>
                          <w:rFonts w:asciiTheme="minorHAnsi" w:hAnsiTheme="minorHAnsi" w:cstheme="minorHAnsi"/>
                          <w:sz w:val="36"/>
                          <w:szCs w:val="36"/>
                        </w:rPr>
                        <w:t xml:space="preserve">Prepared by: </w:t>
                      </w:r>
                      <w:r w:rsidR="0026479E" w:rsidRPr="0026479E">
                        <w:rPr>
                          <w:rFonts w:asciiTheme="minorHAnsi" w:hAnsiTheme="minorHAnsi" w:cstheme="minorHAnsi"/>
                          <w:sz w:val="36"/>
                          <w:szCs w:val="36"/>
                        </w:rPr>
                        <w:t>Carolina Berinstein</w:t>
                      </w:r>
                    </w:p>
                    <w:p w14:paraId="5728B5C5" w14:textId="5491D6D4" w:rsidR="0026479E" w:rsidRPr="0026479E" w:rsidRDefault="0026479E" w:rsidP="0026479E">
                      <w:pPr>
                        <w:pStyle w:val="NoSpacing"/>
                        <w:rPr>
                          <w:rFonts w:asciiTheme="minorHAnsi" w:hAnsiTheme="minorHAnsi" w:cstheme="minorHAnsi"/>
                          <w:sz w:val="36"/>
                          <w:szCs w:val="36"/>
                        </w:rPr>
                      </w:pPr>
                      <w:r>
                        <w:rPr>
                          <w:rFonts w:asciiTheme="minorHAnsi" w:hAnsiTheme="minorHAnsi" w:cstheme="minorHAnsi"/>
                          <w:sz w:val="36"/>
                          <w:szCs w:val="36"/>
                        </w:rPr>
                        <w:t xml:space="preserve">Edited by: </w:t>
                      </w:r>
                      <w:r w:rsidRPr="0026479E">
                        <w:rPr>
                          <w:rFonts w:asciiTheme="minorHAnsi" w:hAnsiTheme="minorHAnsi" w:cstheme="minorHAnsi"/>
                          <w:sz w:val="36"/>
                          <w:szCs w:val="36"/>
                        </w:rPr>
                        <w:t>Dionne Falconer, OODP Consultant</w:t>
                      </w:r>
                      <w:r w:rsidR="008A253B">
                        <w:rPr>
                          <w:rFonts w:asciiTheme="minorHAnsi" w:hAnsiTheme="minorHAnsi" w:cstheme="minorHAnsi"/>
                          <w:sz w:val="36"/>
                          <w:szCs w:val="36"/>
                        </w:rPr>
                        <w:t xml:space="preserve"> and Janine Manning, Consultant </w:t>
                      </w:r>
                    </w:p>
                    <w:p w14:paraId="57D57569" w14:textId="6BF023B2" w:rsidR="00560BE5" w:rsidRPr="0026479E" w:rsidRDefault="0026479E" w:rsidP="0026479E">
                      <w:pPr>
                        <w:pStyle w:val="NoSpacing"/>
                        <w:rPr>
                          <w:rFonts w:asciiTheme="minorHAnsi" w:hAnsiTheme="minorHAnsi" w:cstheme="minorHAnsi"/>
                          <w:sz w:val="36"/>
                          <w:szCs w:val="36"/>
                        </w:rPr>
                      </w:pPr>
                      <w:r w:rsidRPr="0026479E">
                        <w:rPr>
                          <w:rFonts w:asciiTheme="minorHAnsi" w:hAnsiTheme="minorHAnsi" w:cstheme="minorHAnsi"/>
                          <w:sz w:val="36"/>
                          <w:szCs w:val="36"/>
                        </w:rPr>
                        <w:t>October, 2023</w:t>
                      </w:r>
                    </w:p>
                  </w:txbxContent>
                </v:textbox>
                <w10:wrap type="tight" anchorx="margin"/>
              </v:shape>
            </w:pict>
          </mc:Fallback>
        </mc:AlternateContent>
      </w:r>
      <w:r w:rsidRPr="00183A28">
        <w:rPr>
          <w:rFonts w:ascii="Calibri" w:hAnsi="Calibri" w:cs="Calibri"/>
          <w:noProof/>
          <w:lang w:val="en-CA" w:eastAsia="en-CA"/>
        </w:rPr>
        <mc:AlternateContent>
          <mc:Choice Requires="wps">
            <w:drawing>
              <wp:anchor distT="0" distB="0" distL="114300" distR="114300" simplePos="0" relativeHeight="251664384" behindDoc="0" locked="0" layoutInCell="1" allowOverlap="1" wp14:anchorId="425C2CE5" wp14:editId="03449D78">
                <wp:simplePos x="0" y="0"/>
                <wp:positionH relativeFrom="margin">
                  <wp:posOffset>-124358</wp:posOffset>
                </wp:positionH>
                <wp:positionV relativeFrom="paragraph">
                  <wp:posOffset>148768</wp:posOffset>
                </wp:positionV>
                <wp:extent cx="8222284" cy="2446020"/>
                <wp:effectExtent l="0" t="0" r="0" b="0"/>
                <wp:wrapNone/>
                <wp:docPr id="4" name="Rectangle 4"/>
                <wp:cNvGraphicFramePr/>
                <a:graphic xmlns:a="http://schemas.openxmlformats.org/drawingml/2006/main">
                  <a:graphicData uri="http://schemas.microsoft.com/office/word/2010/wordprocessingShape">
                    <wps:wsp>
                      <wps:cNvSpPr/>
                      <wps:spPr>
                        <a:xfrm>
                          <a:off x="0" y="0"/>
                          <a:ext cx="8222284" cy="24460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68957" w14:textId="39C44FBC" w:rsidR="00560BE5" w:rsidRPr="00560BE5" w:rsidRDefault="007631E1" w:rsidP="00560BE5">
                            <w:pPr>
                              <w:jc w:val="center"/>
                              <w:rPr>
                                <w:sz w:val="56"/>
                                <w:szCs w:val="56"/>
                              </w:rPr>
                            </w:pPr>
                            <w:r>
                              <w:rPr>
                                <w:b/>
                                <w:bCs/>
                                <w:sz w:val="56"/>
                                <w:szCs w:val="56"/>
                              </w:rPr>
                              <w:t xml:space="preserve">Auditing Resources Using an Anti-Racism Lens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C2CE5" id="Rectangle 4" o:spid="_x0000_s1027" style="position:absolute;left:0;text-align:left;margin-left:-9.8pt;margin-top:11.7pt;width:647.4pt;height:192.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" filled="f" stroked="f" strokeweight="1pt">
                <v:textbox>
                  <w:txbxContent>
                    <w:p w14:paraId="1FC68957" w14:textId="39C44FBC" w:rsidR="00560BE5" w:rsidRPr="00560BE5" w:rsidRDefault="007631E1" w:rsidP="00560BE5">
                      <w:pPr>
                        <w:jc w:val="center"/>
                        <w:rPr>
                          <w:sz w:val="56"/>
                          <w:szCs w:val="56"/>
                        </w:rPr>
                      </w:pPr>
                      <w:r>
                        <w:rPr>
                          <w:b/>
                          <w:bCs/>
                          <w:sz w:val="56"/>
                          <w:szCs w:val="56"/>
                        </w:rPr>
                        <w:t xml:space="preserve">Auditing Resources Using an Anti-Racism Lens </w:t>
                      </w:r>
                    </w:p>
                  </w:txbxContent>
                </v:textbox>
                <w10:wrap anchorx="margin"/>
              </v:rect>
            </w:pict>
          </mc:Fallback>
        </mc:AlternateContent>
      </w:r>
    </w:p>
    <w:p w14:paraId="216B9B48" w14:textId="041DFBB1" w:rsidR="0009454F" w:rsidRPr="00183A28" w:rsidRDefault="0009454F" w:rsidP="0009454F">
      <w:pPr>
        <w:jc w:val="center"/>
        <w:rPr>
          <w:lang w:val="en-CA"/>
        </w:rPr>
      </w:pPr>
    </w:p>
    <w:p w14:paraId="615C9612" w14:textId="77777777" w:rsidR="00845003" w:rsidRPr="00183A28" w:rsidRDefault="00845003" w:rsidP="00A712C0">
      <w:pPr>
        <w:rPr>
          <w:rFonts w:cstheme="minorHAnsi"/>
          <w:lang w:val="en-CA"/>
        </w:rPr>
      </w:pPr>
    </w:p>
    <w:p w14:paraId="19D6C035" w14:textId="77777777" w:rsidR="004A2D7D" w:rsidRPr="00183A28" w:rsidRDefault="004A2D7D" w:rsidP="004A2D7D">
      <w:pPr>
        <w:rPr>
          <w:rFonts w:ascii="Calibri" w:eastAsiaTheme="majorEastAsia" w:hAnsi="Calibri" w:cs="Calibri"/>
          <w:b/>
          <w:bCs/>
          <w:color w:val="C4262E"/>
          <w:sz w:val="48"/>
          <w:szCs w:val="32"/>
          <w:lang w:val="en-CA"/>
        </w:rPr>
      </w:pPr>
      <w:r w:rsidRPr="00183A28">
        <w:rPr>
          <w:rFonts w:ascii="Calibri" w:eastAsiaTheme="majorEastAsia" w:hAnsi="Calibri" w:cs="Calibri"/>
          <w:b/>
          <w:bCs/>
          <w:color w:val="C4262E"/>
          <w:sz w:val="48"/>
          <w:szCs w:val="32"/>
          <w:lang w:val="en-CA"/>
        </w:rPr>
        <w:t xml:space="preserve">Copyright and Disclaimer Statement </w:t>
      </w:r>
    </w:p>
    <w:p w14:paraId="5E986733" w14:textId="77777777" w:rsidR="004A2D7D" w:rsidRPr="00183A28" w:rsidRDefault="004A2D7D" w:rsidP="004A2D7D">
      <w:pPr>
        <w:rPr>
          <w:rFonts w:cstheme="minorHAnsi"/>
          <w:lang w:val="en-CA"/>
        </w:rPr>
      </w:pPr>
    </w:p>
    <w:p w14:paraId="17BC0757" w14:textId="77FFCF2C" w:rsidR="004A2D7D" w:rsidRPr="00183A28" w:rsidRDefault="004A2D7D" w:rsidP="004A2D7D">
      <w:pPr>
        <w:rPr>
          <w:rFonts w:cstheme="minorHAnsi"/>
          <w:lang w:val="en-CA"/>
        </w:rPr>
      </w:pPr>
      <w:r w:rsidRPr="00183A28">
        <w:rPr>
          <w:rFonts w:cstheme="minorHAnsi"/>
          <w:lang w:val="en-CA"/>
        </w:rPr>
        <w:t xml:space="preserve">Production of the </w:t>
      </w:r>
      <w:r w:rsidR="007631E1" w:rsidRPr="00183A28">
        <w:rPr>
          <w:rFonts w:cstheme="minorHAnsi"/>
          <w:i/>
          <w:iCs/>
          <w:lang w:val="en-CA"/>
        </w:rPr>
        <w:t>A</w:t>
      </w:r>
      <w:r w:rsidR="007631E1">
        <w:rPr>
          <w:rFonts w:cstheme="minorHAnsi"/>
          <w:i/>
          <w:iCs/>
          <w:lang w:val="en-CA"/>
        </w:rPr>
        <w:t xml:space="preserve">uditing Resources Using an Anti-Racism Lens </w:t>
      </w:r>
      <w:r w:rsidRPr="00183A28">
        <w:rPr>
          <w:rFonts w:cstheme="minorHAnsi"/>
          <w:i/>
          <w:iCs/>
          <w:lang w:val="en-CA"/>
        </w:rPr>
        <w:t>Resource</w:t>
      </w:r>
      <w:r w:rsidRPr="00183A28">
        <w:rPr>
          <w:rFonts w:cstheme="minorHAnsi"/>
          <w:lang w:val="en-CA"/>
        </w:rPr>
        <w:t xml:space="preserve"> has been made possible through financial contributions by the AIDS Bureau, AIDS and Hepatitis C Programs, Ministry of Health, Ontario. </w:t>
      </w:r>
    </w:p>
    <w:p w14:paraId="23725918" w14:textId="77777777" w:rsidR="004A2D7D" w:rsidRPr="00183A28" w:rsidRDefault="004A2D7D" w:rsidP="004A2D7D">
      <w:pPr>
        <w:rPr>
          <w:rFonts w:cstheme="minorHAnsi"/>
          <w:lang w:val="en-CA"/>
        </w:rPr>
      </w:pPr>
    </w:p>
    <w:p w14:paraId="74D0A1F1" w14:textId="592131FA" w:rsidR="004A2D7D" w:rsidRPr="00183A28" w:rsidRDefault="004A2D7D" w:rsidP="004A2D7D">
      <w:pPr>
        <w:rPr>
          <w:rFonts w:cstheme="minorHAnsi"/>
          <w:lang w:val="en-CA"/>
        </w:rPr>
      </w:pPr>
      <w:r w:rsidRPr="00183A28">
        <w:rPr>
          <w:rFonts w:cstheme="minorHAnsi"/>
          <w:lang w:val="en-CA"/>
        </w:rPr>
        <w:t xml:space="preserve">Copyright to the </w:t>
      </w:r>
      <w:r w:rsidR="007631E1" w:rsidRPr="00183A28">
        <w:rPr>
          <w:rFonts w:cstheme="minorHAnsi"/>
          <w:i/>
          <w:iCs/>
          <w:lang w:val="en-CA"/>
        </w:rPr>
        <w:t>A</w:t>
      </w:r>
      <w:r w:rsidR="007631E1">
        <w:rPr>
          <w:rFonts w:cstheme="minorHAnsi"/>
          <w:i/>
          <w:iCs/>
          <w:lang w:val="en-CA"/>
        </w:rPr>
        <w:t xml:space="preserve">uditing Resources Using an Anti-Racism Lens </w:t>
      </w:r>
      <w:r w:rsidR="007631E1" w:rsidRPr="00183A28">
        <w:rPr>
          <w:rFonts w:cstheme="minorHAnsi"/>
          <w:i/>
          <w:iCs/>
          <w:lang w:val="en-CA"/>
        </w:rPr>
        <w:t>Resource</w:t>
      </w:r>
      <w:r w:rsidR="007631E1" w:rsidRPr="00183A28">
        <w:rPr>
          <w:rFonts w:cstheme="minorHAnsi"/>
          <w:lang w:val="en-CA"/>
        </w:rPr>
        <w:t xml:space="preserve"> </w:t>
      </w:r>
      <w:r w:rsidRPr="00183A28">
        <w:rPr>
          <w:rFonts w:cstheme="minorHAnsi"/>
          <w:lang w:val="en-CA"/>
        </w:rPr>
        <w:t xml:space="preserve">is held by the Ontario Organizational Development Program (OODP). The OODP acknowledges the contributions of </w:t>
      </w:r>
      <w:r w:rsidR="007631E1">
        <w:rPr>
          <w:rFonts w:cstheme="minorHAnsi"/>
          <w:lang w:val="en-CA"/>
        </w:rPr>
        <w:t xml:space="preserve">all team members </w:t>
      </w:r>
      <w:r w:rsidRPr="00183A28">
        <w:rPr>
          <w:rFonts w:cstheme="minorHAnsi"/>
          <w:lang w:val="en-CA"/>
        </w:rPr>
        <w:t xml:space="preserve">in preparing this document. The OODP encourages the use of the </w:t>
      </w:r>
      <w:r w:rsidR="007631E1" w:rsidRPr="00183A28">
        <w:rPr>
          <w:rFonts w:cstheme="minorHAnsi"/>
          <w:i/>
          <w:iCs/>
          <w:lang w:val="en-CA"/>
        </w:rPr>
        <w:t>A</w:t>
      </w:r>
      <w:r w:rsidR="007631E1">
        <w:rPr>
          <w:rFonts w:cstheme="minorHAnsi"/>
          <w:i/>
          <w:iCs/>
          <w:lang w:val="en-CA"/>
        </w:rPr>
        <w:t xml:space="preserve">uditing Resources Using an Anti-Racism Lens </w:t>
      </w:r>
      <w:r w:rsidR="007631E1" w:rsidRPr="00183A28">
        <w:rPr>
          <w:rFonts w:cstheme="minorHAnsi"/>
          <w:i/>
          <w:iCs/>
          <w:lang w:val="en-CA"/>
        </w:rPr>
        <w:t>Resource</w:t>
      </w:r>
      <w:r w:rsidR="007631E1" w:rsidRPr="00183A28">
        <w:rPr>
          <w:rFonts w:cstheme="minorHAnsi"/>
          <w:lang w:val="en-CA"/>
        </w:rPr>
        <w:t xml:space="preserve"> </w:t>
      </w:r>
      <w:r w:rsidRPr="00183A28">
        <w:rPr>
          <w:rFonts w:cstheme="minorHAnsi"/>
          <w:lang w:val="en-CA"/>
        </w:rPr>
        <w:t>by organizations. However, any such publication shall acknowledge the OODP as the source</w:t>
      </w:r>
      <w:r w:rsidR="0026479E">
        <w:rPr>
          <w:rFonts w:cstheme="minorHAnsi"/>
          <w:lang w:val="en-CA"/>
        </w:rPr>
        <w:t xml:space="preserve">, Carolina Berinstein as the Author and Dionne Falconer </w:t>
      </w:r>
      <w:r w:rsidR="008A253B">
        <w:rPr>
          <w:rFonts w:cstheme="minorHAnsi"/>
          <w:lang w:val="en-CA"/>
        </w:rPr>
        <w:t xml:space="preserve">and Janine Manning </w:t>
      </w:r>
      <w:r w:rsidR="0026479E">
        <w:rPr>
          <w:rFonts w:cstheme="minorHAnsi"/>
          <w:lang w:val="en-CA"/>
        </w:rPr>
        <w:t>as Editor</w:t>
      </w:r>
      <w:r w:rsidR="008A253B">
        <w:rPr>
          <w:rFonts w:cstheme="minorHAnsi"/>
          <w:lang w:val="en-CA"/>
        </w:rPr>
        <w:t>s</w:t>
      </w:r>
      <w:r w:rsidR="0026479E">
        <w:rPr>
          <w:rFonts w:cstheme="minorHAnsi"/>
          <w:lang w:val="en-CA"/>
        </w:rPr>
        <w:t xml:space="preserve">. </w:t>
      </w:r>
    </w:p>
    <w:p w14:paraId="02E18B8C" w14:textId="77777777" w:rsidR="004A2D7D" w:rsidRPr="00183A28" w:rsidRDefault="004A2D7D" w:rsidP="004A2D7D">
      <w:pPr>
        <w:rPr>
          <w:rFonts w:cstheme="minorHAnsi"/>
          <w:lang w:val="en-CA"/>
        </w:rPr>
      </w:pPr>
    </w:p>
    <w:p w14:paraId="0CEFBB40" w14:textId="4C5D4100" w:rsidR="003D0890" w:rsidRDefault="004A2D7D" w:rsidP="00A712C0">
      <w:pPr>
        <w:pStyle w:val="Default"/>
        <w:rPr>
          <w:rFonts w:asciiTheme="minorHAnsi" w:hAnsiTheme="minorHAnsi" w:cstheme="minorHAnsi"/>
        </w:rPr>
      </w:pPr>
      <w:r w:rsidRPr="007631E1">
        <w:rPr>
          <w:rFonts w:asciiTheme="minorHAnsi" w:hAnsiTheme="minorHAnsi" w:cstheme="minorHAnsi"/>
        </w:rPr>
        <w:t>The use of OODP material, with or without amendments, does not constitute approval or endorsement of any organization by either the OODP or the Ministry of Health</w:t>
      </w:r>
      <w:r w:rsidR="00E707BF">
        <w:rPr>
          <w:rFonts w:asciiTheme="minorHAnsi" w:hAnsiTheme="minorHAnsi" w:cstheme="minorHAnsi"/>
        </w:rPr>
        <w:t xml:space="preserve"> and Long-Term Care</w:t>
      </w:r>
      <w:r w:rsidRPr="007631E1">
        <w:rPr>
          <w:rFonts w:asciiTheme="minorHAnsi" w:hAnsiTheme="minorHAnsi" w:cstheme="minorHAnsi"/>
        </w:rPr>
        <w:t>, Ontario</w:t>
      </w:r>
      <w:r w:rsidR="00C50AA7" w:rsidRPr="007631E1">
        <w:rPr>
          <w:rFonts w:asciiTheme="minorHAnsi" w:hAnsiTheme="minorHAnsi" w:cstheme="minorHAnsi"/>
        </w:rPr>
        <w:t>.</w:t>
      </w:r>
    </w:p>
    <w:p w14:paraId="07BF14BE" w14:textId="77777777" w:rsidR="003D0890" w:rsidRDefault="003D0890">
      <w:pPr>
        <w:spacing w:after="160" w:line="259" w:lineRule="auto"/>
        <w:rPr>
          <w:rFonts w:eastAsiaTheme="minorHAnsi" w:cstheme="minorHAnsi"/>
          <w:color w:val="000000"/>
          <w:lang w:val="en-CA" w:eastAsia="en-US"/>
        </w:rPr>
      </w:pPr>
      <w:r>
        <w:rPr>
          <w:rFonts w:cstheme="minorHAnsi"/>
        </w:rPr>
        <w:br w:type="page"/>
      </w:r>
    </w:p>
    <w:p w14:paraId="6A2E3A1A" w14:textId="77777777" w:rsidR="002F10B2" w:rsidRDefault="002F10B2" w:rsidP="00A712C0">
      <w:pPr>
        <w:pStyle w:val="Default"/>
        <w:rPr>
          <w:rFonts w:asciiTheme="minorHAnsi" w:hAnsiTheme="minorHAnsi" w:cstheme="minorHAnsi"/>
        </w:rPr>
      </w:pPr>
    </w:p>
    <w:sdt>
      <w:sdtPr>
        <w:rPr>
          <w:rFonts w:asciiTheme="minorHAnsi" w:eastAsiaTheme="minorEastAsia" w:hAnsiTheme="minorHAnsi" w:cstheme="minorBidi"/>
          <w:color w:val="auto"/>
          <w:sz w:val="24"/>
          <w:szCs w:val="24"/>
          <w:lang w:eastAsia="ja-JP"/>
        </w:rPr>
        <w:id w:val="2125652177"/>
        <w:docPartObj>
          <w:docPartGallery w:val="Table of Contents"/>
          <w:docPartUnique/>
        </w:docPartObj>
      </w:sdtPr>
      <w:sdtEndPr>
        <w:rPr>
          <w:b/>
          <w:bCs/>
          <w:noProof/>
        </w:rPr>
      </w:sdtEndPr>
      <w:sdtContent>
        <w:p w14:paraId="349FE60A" w14:textId="389821E9" w:rsidR="003D0890" w:rsidRPr="003D0890" w:rsidRDefault="003D0890">
          <w:pPr>
            <w:pStyle w:val="TOCHeading"/>
            <w:rPr>
              <w:b/>
              <w:bCs/>
              <w:color w:val="C00000"/>
              <w:sz w:val="48"/>
              <w:szCs w:val="48"/>
            </w:rPr>
          </w:pPr>
          <w:r w:rsidRPr="003D0890">
            <w:rPr>
              <w:b/>
              <w:bCs/>
              <w:color w:val="C00000"/>
              <w:sz w:val="48"/>
              <w:szCs w:val="48"/>
            </w:rPr>
            <w:t>Table of Contents</w:t>
          </w:r>
        </w:p>
        <w:p w14:paraId="45E6271D" w14:textId="55F6E6B6" w:rsidR="00D66E65" w:rsidRDefault="003D0890">
          <w:pPr>
            <w:pStyle w:val="TOC1"/>
            <w:rPr>
              <w:noProof/>
              <w:kern w:val="2"/>
              <w:sz w:val="22"/>
              <w:szCs w:val="22"/>
              <w:lang w:val="en-CA" w:eastAsia="en-CA"/>
              <w14:ligatures w14:val="standardContextual"/>
            </w:rPr>
          </w:pPr>
          <w:r>
            <w:fldChar w:fldCharType="begin"/>
          </w:r>
          <w:r>
            <w:instrText xml:space="preserve"> TOC \o "1-3" \h \z \u </w:instrText>
          </w:r>
          <w:r>
            <w:fldChar w:fldCharType="separate"/>
          </w:r>
          <w:hyperlink w:anchor="_Toc146132650" w:history="1">
            <w:r w:rsidR="00D66E65" w:rsidRPr="008B1713">
              <w:rPr>
                <w:rStyle w:val="Hyperlink"/>
                <w:noProof/>
                <w:lang w:val="en-CA"/>
              </w:rPr>
              <w:t>Introduction</w:t>
            </w:r>
            <w:r w:rsidR="00D66E65">
              <w:rPr>
                <w:noProof/>
                <w:webHidden/>
              </w:rPr>
              <w:tab/>
            </w:r>
            <w:r w:rsidR="00D66E65">
              <w:rPr>
                <w:noProof/>
                <w:webHidden/>
              </w:rPr>
              <w:fldChar w:fldCharType="begin"/>
            </w:r>
            <w:r w:rsidR="00D66E65">
              <w:rPr>
                <w:noProof/>
                <w:webHidden/>
              </w:rPr>
              <w:instrText xml:space="preserve"> PAGEREF _Toc146132650 \h </w:instrText>
            </w:r>
            <w:r w:rsidR="00D66E65">
              <w:rPr>
                <w:noProof/>
                <w:webHidden/>
              </w:rPr>
            </w:r>
            <w:r w:rsidR="00D66E65">
              <w:rPr>
                <w:noProof/>
                <w:webHidden/>
              </w:rPr>
              <w:fldChar w:fldCharType="separate"/>
            </w:r>
            <w:r w:rsidR="001B6CB2">
              <w:rPr>
                <w:noProof/>
                <w:webHidden/>
              </w:rPr>
              <w:t>4</w:t>
            </w:r>
            <w:r w:rsidR="00D66E65">
              <w:rPr>
                <w:noProof/>
                <w:webHidden/>
              </w:rPr>
              <w:fldChar w:fldCharType="end"/>
            </w:r>
          </w:hyperlink>
        </w:p>
        <w:p w14:paraId="29774DA4" w14:textId="02262B7E" w:rsidR="00D66E65" w:rsidRDefault="00D66E65">
          <w:pPr>
            <w:pStyle w:val="TOC2"/>
            <w:rPr>
              <w:noProof/>
              <w:kern w:val="2"/>
              <w:sz w:val="22"/>
              <w:szCs w:val="22"/>
              <w:lang w:val="en-CA" w:eastAsia="en-CA"/>
              <w14:ligatures w14:val="standardContextual"/>
            </w:rPr>
          </w:pPr>
          <w:hyperlink w:anchor="_Toc146132651" w:history="1">
            <w:r w:rsidRPr="008B1713">
              <w:rPr>
                <w:rStyle w:val="Hyperlink"/>
                <w:noProof/>
                <w:lang w:val="en-CA"/>
              </w:rPr>
              <w:t>Ontario Organizational Development Program</w:t>
            </w:r>
            <w:r>
              <w:rPr>
                <w:noProof/>
                <w:webHidden/>
              </w:rPr>
              <w:tab/>
            </w:r>
            <w:r>
              <w:rPr>
                <w:noProof/>
                <w:webHidden/>
              </w:rPr>
              <w:fldChar w:fldCharType="begin"/>
            </w:r>
            <w:r>
              <w:rPr>
                <w:noProof/>
                <w:webHidden/>
              </w:rPr>
              <w:instrText xml:space="preserve"> PAGEREF _Toc146132651 \h </w:instrText>
            </w:r>
            <w:r>
              <w:rPr>
                <w:noProof/>
                <w:webHidden/>
              </w:rPr>
            </w:r>
            <w:r>
              <w:rPr>
                <w:noProof/>
                <w:webHidden/>
              </w:rPr>
              <w:fldChar w:fldCharType="separate"/>
            </w:r>
            <w:r w:rsidR="001B6CB2">
              <w:rPr>
                <w:noProof/>
                <w:webHidden/>
              </w:rPr>
              <w:t>4</w:t>
            </w:r>
            <w:r>
              <w:rPr>
                <w:noProof/>
                <w:webHidden/>
              </w:rPr>
              <w:fldChar w:fldCharType="end"/>
            </w:r>
          </w:hyperlink>
        </w:p>
        <w:p w14:paraId="60EA58B4" w14:textId="25EF5B24" w:rsidR="00D66E65" w:rsidRDefault="00D66E65">
          <w:pPr>
            <w:pStyle w:val="TOC2"/>
            <w:rPr>
              <w:noProof/>
              <w:kern w:val="2"/>
              <w:sz w:val="22"/>
              <w:szCs w:val="22"/>
              <w:lang w:val="en-CA" w:eastAsia="en-CA"/>
              <w14:ligatures w14:val="standardContextual"/>
            </w:rPr>
          </w:pPr>
          <w:hyperlink w:anchor="_Toc146132652" w:history="1">
            <w:r w:rsidRPr="008B1713">
              <w:rPr>
                <w:rStyle w:val="Hyperlink"/>
                <w:noProof/>
                <w:lang w:val="en-CA"/>
              </w:rPr>
              <w:t>Why Have a Tool Like This?</w:t>
            </w:r>
            <w:r>
              <w:rPr>
                <w:noProof/>
                <w:webHidden/>
              </w:rPr>
              <w:tab/>
            </w:r>
            <w:r>
              <w:rPr>
                <w:noProof/>
                <w:webHidden/>
              </w:rPr>
              <w:fldChar w:fldCharType="begin"/>
            </w:r>
            <w:r>
              <w:rPr>
                <w:noProof/>
                <w:webHidden/>
              </w:rPr>
              <w:instrText xml:space="preserve"> PAGEREF _Toc146132652 \h </w:instrText>
            </w:r>
            <w:r>
              <w:rPr>
                <w:noProof/>
                <w:webHidden/>
              </w:rPr>
            </w:r>
            <w:r>
              <w:rPr>
                <w:noProof/>
                <w:webHidden/>
              </w:rPr>
              <w:fldChar w:fldCharType="separate"/>
            </w:r>
            <w:r w:rsidR="001B6CB2">
              <w:rPr>
                <w:noProof/>
                <w:webHidden/>
              </w:rPr>
              <w:t>4</w:t>
            </w:r>
            <w:r>
              <w:rPr>
                <w:noProof/>
                <w:webHidden/>
              </w:rPr>
              <w:fldChar w:fldCharType="end"/>
            </w:r>
          </w:hyperlink>
        </w:p>
        <w:p w14:paraId="1959E036" w14:textId="21717A51" w:rsidR="00D66E65" w:rsidRDefault="00D66E65">
          <w:pPr>
            <w:pStyle w:val="TOC1"/>
            <w:rPr>
              <w:noProof/>
              <w:kern w:val="2"/>
              <w:sz w:val="22"/>
              <w:szCs w:val="22"/>
              <w:lang w:val="en-CA" w:eastAsia="en-CA"/>
              <w14:ligatures w14:val="standardContextual"/>
            </w:rPr>
          </w:pPr>
          <w:hyperlink w:anchor="_Toc146132653" w:history="1">
            <w:r w:rsidRPr="008B1713">
              <w:rPr>
                <w:rStyle w:val="Hyperlink"/>
                <w:noProof/>
                <w:lang w:val="en-CA"/>
              </w:rPr>
              <w:t>How do I Use this Tool?</w:t>
            </w:r>
            <w:r>
              <w:rPr>
                <w:noProof/>
                <w:webHidden/>
              </w:rPr>
              <w:tab/>
            </w:r>
            <w:r>
              <w:rPr>
                <w:noProof/>
                <w:webHidden/>
              </w:rPr>
              <w:fldChar w:fldCharType="begin"/>
            </w:r>
            <w:r>
              <w:rPr>
                <w:noProof/>
                <w:webHidden/>
              </w:rPr>
              <w:instrText xml:space="preserve"> PAGEREF _Toc146132653 \h </w:instrText>
            </w:r>
            <w:r>
              <w:rPr>
                <w:noProof/>
                <w:webHidden/>
              </w:rPr>
            </w:r>
            <w:r>
              <w:rPr>
                <w:noProof/>
                <w:webHidden/>
              </w:rPr>
              <w:fldChar w:fldCharType="separate"/>
            </w:r>
            <w:r w:rsidR="001B6CB2">
              <w:rPr>
                <w:noProof/>
                <w:webHidden/>
              </w:rPr>
              <w:t>5</w:t>
            </w:r>
            <w:r>
              <w:rPr>
                <w:noProof/>
                <w:webHidden/>
              </w:rPr>
              <w:fldChar w:fldCharType="end"/>
            </w:r>
          </w:hyperlink>
        </w:p>
        <w:p w14:paraId="27FB43E5" w14:textId="30D85399" w:rsidR="00D66E65" w:rsidRDefault="00D66E65">
          <w:pPr>
            <w:pStyle w:val="TOC2"/>
            <w:rPr>
              <w:noProof/>
              <w:kern w:val="2"/>
              <w:sz w:val="22"/>
              <w:szCs w:val="22"/>
              <w:lang w:val="en-CA" w:eastAsia="en-CA"/>
              <w14:ligatures w14:val="standardContextual"/>
            </w:rPr>
          </w:pPr>
          <w:hyperlink w:anchor="_Toc146132654" w:history="1">
            <w:r w:rsidRPr="008B1713">
              <w:rPr>
                <w:rStyle w:val="Hyperlink"/>
                <w:noProof/>
                <w:lang w:val="en-CA"/>
              </w:rPr>
              <w:t>Step 1: Identify a Resource to Review</w:t>
            </w:r>
            <w:r>
              <w:rPr>
                <w:noProof/>
                <w:webHidden/>
              </w:rPr>
              <w:tab/>
            </w:r>
            <w:r>
              <w:rPr>
                <w:noProof/>
                <w:webHidden/>
              </w:rPr>
              <w:fldChar w:fldCharType="begin"/>
            </w:r>
            <w:r>
              <w:rPr>
                <w:noProof/>
                <w:webHidden/>
              </w:rPr>
              <w:instrText xml:space="preserve"> PAGEREF _Toc146132654 \h </w:instrText>
            </w:r>
            <w:r>
              <w:rPr>
                <w:noProof/>
                <w:webHidden/>
              </w:rPr>
            </w:r>
            <w:r>
              <w:rPr>
                <w:noProof/>
                <w:webHidden/>
              </w:rPr>
              <w:fldChar w:fldCharType="separate"/>
            </w:r>
            <w:r w:rsidR="001B6CB2">
              <w:rPr>
                <w:noProof/>
                <w:webHidden/>
              </w:rPr>
              <w:t>5</w:t>
            </w:r>
            <w:r>
              <w:rPr>
                <w:noProof/>
                <w:webHidden/>
              </w:rPr>
              <w:fldChar w:fldCharType="end"/>
            </w:r>
          </w:hyperlink>
        </w:p>
        <w:p w14:paraId="6D687E95" w14:textId="30D2E6C5" w:rsidR="00D66E65" w:rsidRDefault="00D66E65">
          <w:pPr>
            <w:pStyle w:val="TOC2"/>
            <w:rPr>
              <w:noProof/>
              <w:kern w:val="2"/>
              <w:sz w:val="22"/>
              <w:szCs w:val="22"/>
              <w:lang w:val="en-CA" w:eastAsia="en-CA"/>
              <w14:ligatures w14:val="standardContextual"/>
            </w:rPr>
          </w:pPr>
          <w:hyperlink w:anchor="_Toc146132655" w:history="1">
            <w:r w:rsidRPr="008B1713">
              <w:rPr>
                <w:rStyle w:val="Hyperlink"/>
                <w:noProof/>
                <w:lang w:val="en-CA"/>
              </w:rPr>
              <w:t>Step 2: Determine Who Should Review the Resource</w:t>
            </w:r>
            <w:r>
              <w:rPr>
                <w:noProof/>
                <w:webHidden/>
              </w:rPr>
              <w:tab/>
            </w:r>
            <w:r>
              <w:rPr>
                <w:noProof/>
                <w:webHidden/>
              </w:rPr>
              <w:fldChar w:fldCharType="begin"/>
            </w:r>
            <w:r>
              <w:rPr>
                <w:noProof/>
                <w:webHidden/>
              </w:rPr>
              <w:instrText xml:space="preserve"> PAGEREF _Toc146132655 \h </w:instrText>
            </w:r>
            <w:r>
              <w:rPr>
                <w:noProof/>
                <w:webHidden/>
              </w:rPr>
            </w:r>
            <w:r>
              <w:rPr>
                <w:noProof/>
                <w:webHidden/>
              </w:rPr>
              <w:fldChar w:fldCharType="separate"/>
            </w:r>
            <w:r w:rsidR="001B6CB2">
              <w:rPr>
                <w:noProof/>
                <w:webHidden/>
              </w:rPr>
              <w:t>6</w:t>
            </w:r>
            <w:r>
              <w:rPr>
                <w:noProof/>
                <w:webHidden/>
              </w:rPr>
              <w:fldChar w:fldCharType="end"/>
            </w:r>
          </w:hyperlink>
        </w:p>
        <w:p w14:paraId="5CCD0487" w14:textId="355C0B2B" w:rsidR="00D66E65" w:rsidRDefault="00D66E65">
          <w:pPr>
            <w:pStyle w:val="TOC2"/>
            <w:rPr>
              <w:noProof/>
              <w:kern w:val="2"/>
              <w:sz w:val="22"/>
              <w:szCs w:val="22"/>
              <w:lang w:val="en-CA" w:eastAsia="en-CA"/>
              <w14:ligatures w14:val="standardContextual"/>
            </w:rPr>
          </w:pPr>
          <w:hyperlink w:anchor="_Toc146132656" w:history="1">
            <w:r w:rsidRPr="008B1713">
              <w:rPr>
                <w:rStyle w:val="Hyperlink"/>
                <w:noProof/>
                <w:lang w:val="en-CA"/>
              </w:rPr>
              <w:t>Step 3: Familiarize Y</w:t>
            </w:r>
            <w:r w:rsidRPr="008B1713">
              <w:rPr>
                <w:rStyle w:val="Hyperlink"/>
                <w:noProof/>
                <w:lang w:val="en-CA"/>
              </w:rPr>
              <w:t>o</w:t>
            </w:r>
            <w:r w:rsidRPr="008B1713">
              <w:rPr>
                <w:rStyle w:val="Hyperlink"/>
                <w:noProof/>
                <w:lang w:val="en-CA"/>
              </w:rPr>
              <w:t>urself with the Standards</w:t>
            </w:r>
            <w:r>
              <w:rPr>
                <w:noProof/>
                <w:webHidden/>
              </w:rPr>
              <w:tab/>
            </w:r>
            <w:r>
              <w:rPr>
                <w:noProof/>
                <w:webHidden/>
              </w:rPr>
              <w:fldChar w:fldCharType="begin"/>
            </w:r>
            <w:r>
              <w:rPr>
                <w:noProof/>
                <w:webHidden/>
              </w:rPr>
              <w:instrText xml:space="preserve"> PAGEREF _Toc146132656 \h </w:instrText>
            </w:r>
            <w:r>
              <w:rPr>
                <w:noProof/>
                <w:webHidden/>
              </w:rPr>
            </w:r>
            <w:r>
              <w:rPr>
                <w:noProof/>
                <w:webHidden/>
              </w:rPr>
              <w:fldChar w:fldCharType="separate"/>
            </w:r>
            <w:r w:rsidR="001B6CB2">
              <w:rPr>
                <w:noProof/>
                <w:webHidden/>
              </w:rPr>
              <w:t>6</w:t>
            </w:r>
            <w:r>
              <w:rPr>
                <w:noProof/>
                <w:webHidden/>
              </w:rPr>
              <w:fldChar w:fldCharType="end"/>
            </w:r>
          </w:hyperlink>
        </w:p>
        <w:p w14:paraId="4033862F" w14:textId="7AACE651" w:rsidR="00D66E65" w:rsidRDefault="00D66E65">
          <w:pPr>
            <w:pStyle w:val="TOC2"/>
            <w:rPr>
              <w:noProof/>
              <w:kern w:val="2"/>
              <w:sz w:val="22"/>
              <w:szCs w:val="22"/>
              <w:lang w:val="en-CA" w:eastAsia="en-CA"/>
              <w14:ligatures w14:val="standardContextual"/>
            </w:rPr>
          </w:pPr>
          <w:hyperlink w:anchor="_Toc146132657" w:history="1">
            <w:r w:rsidRPr="008B1713">
              <w:rPr>
                <w:rStyle w:val="Hyperlink"/>
                <w:noProof/>
                <w:lang w:val="en-CA"/>
              </w:rPr>
              <w:t>Step 4: Review the Resource!</w:t>
            </w:r>
            <w:r>
              <w:rPr>
                <w:noProof/>
                <w:webHidden/>
              </w:rPr>
              <w:tab/>
            </w:r>
            <w:r>
              <w:rPr>
                <w:noProof/>
                <w:webHidden/>
              </w:rPr>
              <w:fldChar w:fldCharType="begin"/>
            </w:r>
            <w:r>
              <w:rPr>
                <w:noProof/>
                <w:webHidden/>
              </w:rPr>
              <w:instrText xml:space="preserve"> PAGEREF _Toc146132657 \h </w:instrText>
            </w:r>
            <w:r>
              <w:rPr>
                <w:noProof/>
                <w:webHidden/>
              </w:rPr>
            </w:r>
            <w:r>
              <w:rPr>
                <w:noProof/>
                <w:webHidden/>
              </w:rPr>
              <w:fldChar w:fldCharType="separate"/>
            </w:r>
            <w:r w:rsidR="001B6CB2">
              <w:rPr>
                <w:noProof/>
                <w:webHidden/>
              </w:rPr>
              <w:t>6</w:t>
            </w:r>
            <w:r>
              <w:rPr>
                <w:noProof/>
                <w:webHidden/>
              </w:rPr>
              <w:fldChar w:fldCharType="end"/>
            </w:r>
          </w:hyperlink>
        </w:p>
        <w:p w14:paraId="13AF9C6F" w14:textId="5BDC46D0" w:rsidR="00D66E65" w:rsidRDefault="00D66E65">
          <w:pPr>
            <w:pStyle w:val="TOC2"/>
            <w:rPr>
              <w:noProof/>
              <w:kern w:val="2"/>
              <w:sz w:val="22"/>
              <w:szCs w:val="22"/>
              <w:lang w:val="en-CA" w:eastAsia="en-CA"/>
              <w14:ligatures w14:val="standardContextual"/>
            </w:rPr>
          </w:pPr>
          <w:hyperlink w:anchor="_Toc146132658" w:history="1">
            <w:r w:rsidRPr="008B1713">
              <w:rPr>
                <w:rStyle w:val="Hyperlink"/>
                <w:noProof/>
                <w:lang w:val="en-CA"/>
              </w:rPr>
              <w:t>Step 5: Look at Your Results &amp; Next Steps</w:t>
            </w:r>
            <w:r>
              <w:rPr>
                <w:noProof/>
                <w:webHidden/>
              </w:rPr>
              <w:tab/>
            </w:r>
            <w:r>
              <w:rPr>
                <w:noProof/>
                <w:webHidden/>
              </w:rPr>
              <w:fldChar w:fldCharType="begin"/>
            </w:r>
            <w:r>
              <w:rPr>
                <w:noProof/>
                <w:webHidden/>
              </w:rPr>
              <w:instrText xml:space="preserve"> PAGEREF _Toc146132658 \h </w:instrText>
            </w:r>
            <w:r>
              <w:rPr>
                <w:noProof/>
                <w:webHidden/>
              </w:rPr>
            </w:r>
            <w:r>
              <w:rPr>
                <w:noProof/>
                <w:webHidden/>
              </w:rPr>
              <w:fldChar w:fldCharType="separate"/>
            </w:r>
            <w:r w:rsidR="001B6CB2">
              <w:rPr>
                <w:noProof/>
                <w:webHidden/>
              </w:rPr>
              <w:t>10</w:t>
            </w:r>
            <w:r>
              <w:rPr>
                <w:noProof/>
                <w:webHidden/>
              </w:rPr>
              <w:fldChar w:fldCharType="end"/>
            </w:r>
          </w:hyperlink>
        </w:p>
        <w:p w14:paraId="5310FC41" w14:textId="5A5DD2BB" w:rsidR="00D66E65" w:rsidRDefault="00D66E65">
          <w:pPr>
            <w:pStyle w:val="TOC1"/>
            <w:rPr>
              <w:noProof/>
              <w:kern w:val="2"/>
              <w:sz w:val="22"/>
              <w:szCs w:val="22"/>
              <w:lang w:val="en-CA" w:eastAsia="en-CA"/>
              <w14:ligatures w14:val="standardContextual"/>
            </w:rPr>
          </w:pPr>
          <w:hyperlink w:anchor="_Toc146132659" w:history="1">
            <w:r w:rsidRPr="008B1713">
              <w:rPr>
                <w:rStyle w:val="Hyperlink"/>
                <w:noProof/>
                <w:lang w:val="en-CA"/>
              </w:rPr>
              <w:t>A Last Note</w:t>
            </w:r>
            <w:r>
              <w:rPr>
                <w:noProof/>
                <w:webHidden/>
              </w:rPr>
              <w:tab/>
            </w:r>
            <w:r>
              <w:rPr>
                <w:noProof/>
                <w:webHidden/>
              </w:rPr>
              <w:fldChar w:fldCharType="begin"/>
            </w:r>
            <w:r>
              <w:rPr>
                <w:noProof/>
                <w:webHidden/>
              </w:rPr>
              <w:instrText xml:space="preserve"> PAGEREF _Toc146132659 \h </w:instrText>
            </w:r>
            <w:r>
              <w:rPr>
                <w:noProof/>
                <w:webHidden/>
              </w:rPr>
            </w:r>
            <w:r>
              <w:rPr>
                <w:noProof/>
                <w:webHidden/>
              </w:rPr>
              <w:fldChar w:fldCharType="separate"/>
            </w:r>
            <w:r w:rsidR="001B6CB2">
              <w:rPr>
                <w:noProof/>
                <w:webHidden/>
              </w:rPr>
              <w:t>10</w:t>
            </w:r>
            <w:r>
              <w:rPr>
                <w:noProof/>
                <w:webHidden/>
              </w:rPr>
              <w:fldChar w:fldCharType="end"/>
            </w:r>
          </w:hyperlink>
        </w:p>
        <w:p w14:paraId="4DAA30B7" w14:textId="12ACF7B2" w:rsidR="00D66E65" w:rsidRDefault="00D66E65">
          <w:pPr>
            <w:pStyle w:val="TOC1"/>
            <w:rPr>
              <w:noProof/>
              <w:kern w:val="2"/>
              <w:sz w:val="22"/>
              <w:szCs w:val="22"/>
              <w:lang w:val="en-CA" w:eastAsia="en-CA"/>
              <w14:ligatures w14:val="standardContextual"/>
            </w:rPr>
          </w:pPr>
          <w:hyperlink w:anchor="_Toc146132660" w:history="1">
            <w:r w:rsidRPr="008B1713">
              <w:rPr>
                <w:rStyle w:val="Hyperlink"/>
                <w:noProof/>
                <w:lang w:val="en-CA"/>
              </w:rPr>
              <w:t>Appendix A: Additional Resources</w:t>
            </w:r>
            <w:r>
              <w:rPr>
                <w:noProof/>
                <w:webHidden/>
              </w:rPr>
              <w:tab/>
            </w:r>
            <w:r>
              <w:rPr>
                <w:noProof/>
                <w:webHidden/>
              </w:rPr>
              <w:fldChar w:fldCharType="begin"/>
            </w:r>
            <w:r>
              <w:rPr>
                <w:noProof/>
                <w:webHidden/>
              </w:rPr>
              <w:instrText xml:space="preserve"> PAGEREF _Toc146132660 \h </w:instrText>
            </w:r>
            <w:r>
              <w:rPr>
                <w:noProof/>
                <w:webHidden/>
              </w:rPr>
            </w:r>
            <w:r>
              <w:rPr>
                <w:noProof/>
                <w:webHidden/>
              </w:rPr>
              <w:fldChar w:fldCharType="separate"/>
            </w:r>
            <w:r w:rsidR="001B6CB2">
              <w:rPr>
                <w:noProof/>
                <w:webHidden/>
              </w:rPr>
              <w:t>11</w:t>
            </w:r>
            <w:r>
              <w:rPr>
                <w:noProof/>
                <w:webHidden/>
              </w:rPr>
              <w:fldChar w:fldCharType="end"/>
            </w:r>
          </w:hyperlink>
        </w:p>
        <w:p w14:paraId="7548DB68" w14:textId="151BB3ED" w:rsidR="003D0890" w:rsidRDefault="003D0890">
          <w:r>
            <w:rPr>
              <w:b/>
              <w:bCs/>
              <w:noProof/>
            </w:rPr>
            <w:fldChar w:fldCharType="end"/>
          </w:r>
        </w:p>
      </w:sdtContent>
    </w:sdt>
    <w:p w14:paraId="77E33A8E" w14:textId="77777777" w:rsidR="002F10B2" w:rsidRDefault="002F10B2" w:rsidP="00A712C0">
      <w:pPr>
        <w:pStyle w:val="Default"/>
        <w:rPr>
          <w:rFonts w:asciiTheme="minorHAnsi" w:hAnsiTheme="minorHAnsi" w:cstheme="minorHAnsi"/>
        </w:rPr>
      </w:pPr>
    </w:p>
    <w:p w14:paraId="3643CD7A" w14:textId="77777777" w:rsidR="002F10B2" w:rsidRDefault="002F10B2" w:rsidP="00A712C0">
      <w:pPr>
        <w:pStyle w:val="Default"/>
        <w:rPr>
          <w:rFonts w:asciiTheme="minorHAnsi" w:hAnsiTheme="minorHAnsi" w:cstheme="minorHAnsi"/>
        </w:rPr>
      </w:pPr>
    </w:p>
    <w:p w14:paraId="31FD5A51" w14:textId="77777777" w:rsidR="002F10B2" w:rsidRDefault="002F10B2" w:rsidP="00A712C0">
      <w:pPr>
        <w:pStyle w:val="Default"/>
        <w:rPr>
          <w:rFonts w:asciiTheme="minorHAnsi" w:hAnsiTheme="minorHAnsi" w:cstheme="minorHAnsi"/>
        </w:rPr>
      </w:pPr>
    </w:p>
    <w:p w14:paraId="18088D0B" w14:textId="4F7EAA55" w:rsidR="003D0890" w:rsidRDefault="003D0890">
      <w:pPr>
        <w:spacing w:after="160" w:line="259" w:lineRule="auto"/>
        <w:rPr>
          <w:rFonts w:eastAsiaTheme="minorHAnsi" w:cstheme="minorHAnsi"/>
          <w:color w:val="000000"/>
          <w:lang w:val="en-CA" w:eastAsia="en-US"/>
        </w:rPr>
      </w:pPr>
      <w:r>
        <w:rPr>
          <w:rFonts w:cstheme="minorHAnsi"/>
        </w:rPr>
        <w:br w:type="page"/>
      </w:r>
    </w:p>
    <w:p w14:paraId="1FFB140E" w14:textId="46BF1F64" w:rsidR="00657877" w:rsidRPr="00183A28" w:rsidRDefault="00657877" w:rsidP="00D66E65">
      <w:pPr>
        <w:pStyle w:val="Heading1"/>
        <w:ind w:left="0"/>
        <w:rPr>
          <w:lang w:val="en-CA"/>
        </w:rPr>
      </w:pPr>
      <w:bookmarkStart w:id="0" w:name="_Toc146132650"/>
      <w:r w:rsidRPr="00183A28">
        <w:rPr>
          <w:lang w:val="en-CA"/>
        </w:rPr>
        <w:lastRenderedPageBreak/>
        <w:t>Introduction</w:t>
      </w:r>
      <w:bookmarkEnd w:id="0"/>
      <w:r w:rsidRPr="00183A28">
        <w:rPr>
          <w:lang w:val="en-CA"/>
        </w:rPr>
        <w:t xml:space="preserve"> </w:t>
      </w:r>
    </w:p>
    <w:p w14:paraId="5BB6D3FE" w14:textId="77777777" w:rsidR="003D0890" w:rsidRDefault="003D0890" w:rsidP="003D0890">
      <w:pPr>
        <w:rPr>
          <w:lang w:val="en-CA"/>
        </w:rPr>
      </w:pPr>
    </w:p>
    <w:p w14:paraId="4720BD2D" w14:textId="04B2D58A" w:rsidR="00BB05A3" w:rsidRPr="00183A28" w:rsidRDefault="00BB05A3" w:rsidP="003D0890">
      <w:pPr>
        <w:pStyle w:val="Heading2"/>
        <w:ind w:left="0"/>
        <w:rPr>
          <w:lang w:val="en-CA"/>
        </w:rPr>
      </w:pPr>
      <w:bookmarkStart w:id="1" w:name="_Toc146132651"/>
      <w:r w:rsidRPr="00183A28">
        <w:rPr>
          <w:lang w:val="en-CA"/>
        </w:rPr>
        <w:t>Ontario Organizational Development Program</w:t>
      </w:r>
      <w:bookmarkEnd w:id="1"/>
    </w:p>
    <w:p w14:paraId="594C5E22" w14:textId="75D75275" w:rsidR="00A712C0" w:rsidRPr="00183A28" w:rsidRDefault="00A712C0" w:rsidP="006C395E">
      <w:pPr>
        <w:pStyle w:val="NormalWeb"/>
        <w:spacing w:beforeLines="50" w:before="120" w:after="2"/>
        <w:rPr>
          <w:rFonts w:asciiTheme="minorHAnsi" w:hAnsiTheme="minorHAnsi" w:cstheme="minorHAnsi"/>
          <w:sz w:val="24"/>
          <w:szCs w:val="24"/>
          <w:lang w:val="en-CA"/>
        </w:rPr>
      </w:pPr>
      <w:r w:rsidRPr="00183A28">
        <w:rPr>
          <w:rFonts w:asciiTheme="minorHAnsi" w:hAnsiTheme="minorHAnsi" w:cstheme="minorHAnsi"/>
          <w:sz w:val="24"/>
          <w:szCs w:val="24"/>
          <w:lang w:val="en-CA"/>
        </w:rPr>
        <w:t xml:space="preserve">The </w:t>
      </w:r>
      <w:hyperlink r:id="rId9" w:history="1">
        <w:r w:rsidRPr="00183A28">
          <w:rPr>
            <w:rStyle w:val="Hyperlink"/>
            <w:rFonts w:asciiTheme="minorHAnsi" w:hAnsiTheme="minorHAnsi" w:cstheme="minorHAnsi"/>
            <w:sz w:val="24"/>
            <w:szCs w:val="24"/>
            <w:lang w:val="en-CA"/>
          </w:rPr>
          <w:t>Ontario Organizational Development Program</w:t>
        </w:r>
      </w:hyperlink>
      <w:r w:rsidRPr="00183A28">
        <w:rPr>
          <w:rFonts w:asciiTheme="minorHAnsi" w:hAnsiTheme="minorHAnsi" w:cstheme="minorHAnsi"/>
          <w:sz w:val="24"/>
          <w:szCs w:val="24"/>
          <w:lang w:val="en-CA"/>
        </w:rPr>
        <w:t xml:space="preserve"> (OODP) </w:t>
      </w:r>
      <w:r w:rsidR="000250F0" w:rsidRPr="00183A28">
        <w:rPr>
          <w:rFonts w:asciiTheme="minorHAnsi" w:hAnsiTheme="minorHAnsi" w:cstheme="minorHAnsi"/>
          <w:sz w:val="24"/>
          <w:szCs w:val="24"/>
          <w:lang w:val="en-CA"/>
        </w:rPr>
        <w:t>provides customized services to meet the organizational development needs of community-based HIV/AIDS organizations and programs.</w:t>
      </w:r>
      <w:r w:rsidR="00D146D6" w:rsidRPr="00183A28">
        <w:rPr>
          <w:rFonts w:asciiTheme="minorHAnsi" w:hAnsiTheme="minorHAnsi" w:cstheme="minorHAnsi"/>
          <w:sz w:val="24"/>
          <w:szCs w:val="24"/>
          <w:lang w:val="en-CA"/>
        </w:rPr>
        <w:t xml:space="preserve"> Es</w:t>
      </w:r>
      <w:r w:rsidRPr="00183A28">
        <w:rPr>
          <w:rFonts w:asciiTheme="minorHAnsi" w:hAnsiTheme="minorHAnsi" w:cstheme="minorHAnsi"/>
          <w:sz w:val="24"/>
          <w:szCs w:val="24"/>
          <w:lang w:val="en-CA"/>
        </w:rPr>
        <w:t>tablished in 1995</w:t>
      </w:r>
      <w:r w:rsidR="00D146D6" w:rsidRPr="00183A28">
        <w:rPr>
          <w:rFonts w:asciiTheme="minorHAnsi" w:hAnsiTheme="minorHAnsi" w:cstheme="minorHAnsi"/>
          <w:sz w:val="24"/>
          <w:szCs w:val="24"/>
          <w:lang w:val="en-CA"/>
        </w:rPr>
        <w:t xml:space="preserve">, the mission of the OODP </w:t>
      </w:r>
      <w:r w:rsidRPr="00183A28">
        <w:rPr>
          <w:rFonts w:asciiTheme="minorHAnsi" w:hAnsiTheme="minorHAnsi" w:cstheme="minorHAnsi"/>
          <w:sz w:val="24"/>
          <w:szCs w:val="24"/>
          <w:lang w:val="en-CA"/>
        </w:rPr>
        <w:t>is to strengthen the capacity of HIV/AIDS organizations and programs in Ontario to determine their direction with awareness and to foster a culture within HIV/AIDS organizations and programs in Ontario to take responsibility for their own organizational development.</w:t>
      </w:r>
    </w:p>
    <w:p w14:paraId="608349E7" w14:textId="0D8D1354" w:rsidR="00A937CD" w:rsidRPr="00183A28" w:rsidRDefault="00A937CD" w:rsidP="00A712C0">
      <w:pPr>
        <w:pStyle w:val="NormalWeb"/>
        <w:spacing w:before="2" w:after="2"/>
        <w:rPr>
          <w:rFonts w:asciiTheme="minorHAnsi" w:hAnsiTheme="minorHAnsi" w:cstheme="minorHAnsi"/>
          <w:sz w:val="24"/>
          <w:szCs w:val="24"/>
          <w:lang w:val="en-CA"/>
        </w:rPr>
      </w:pPr>
    </w:p>
    <w:p w14:paraId="7E3D1B0C" w14:textId="047C5EEC" w:rsidR="00657877" w:rsidRDefault="007631E1" w:rsidP="003D0890">
      <w:pPr>
        <w:pStyle w:val="Heading2"/>
        <w:ind w:left="0"/>
        <w:rPr>
          <w:lang w:val="en-CA"/>
        </w:rPr>
      </w:pPr>
      <w:bookmarkStart w:id="2" w:name="_Toc146132652"/>
      <w:r>
        <w:rPr>
          <w:lang w:val="en-CA"/>
        </w:rPr>
        <w:t>Why Have a Tool Like This?</w:t>
      </w:r>
      <w:bookmarkEnd w:id="2"/>
    </w:p>
    <w:p w14:paraId="7650214C" w14:textId="77777777" w:rsidR="007631E1" w:rsidRPr="007631E1" w:rsidRDefault="007631E1" w:rsidP="007631E1">
      <w:pPr>
        <w:rPr>
          <w:lang w:val="en-CA"/>
        </w:rPr>
      </w:pPr>
    </w:p>
    <w:p w14:paraId="148F7446" w14:textId="3DDDEDC2" w:rsidR="007631E1" w:rsidRDefault="007631E1" w:rsidP="007631E1">
      <w:bookmarkStart w:id="3" w:name="_Hlk147314531"/>
      <w:r>
        <w:t xml:space="preserve">A tool for auditing resources using an anti-racism lens (hereafter called </w:t>
      </w:r>
      <w:r w:rsidRPr="007631E1">
        <w:rPr>
          <w:i/>
          <w:iCs/>
        </w:rPr>
        <w:t>The Anti-Racism Resource Audit Tool</w:t>
      </w:r>
      <w:r>
        <w:t xml:space="preserve">) has been created by the Ontario Organizational Development Program (OODP) to support HIV/AIDS organizations and programs in Ontario to develop resources that better reflect the communities they serve and that are impacted by HIV.  The Tool supports organizations to assess the </w:t>
      </w:r>
      <w:r w:rsidRPr="006E5498">
        <w:t>written resources and program materials</w:t>
      </w:r>
      <w:r>
        <w:t xml:space="preserve"> they develop to ensure they are grounded in a framework that explicitly acknowledges and offers ways to dismantle racism.  The Tool focuses on </w:t>
      </w:r>
      <w:r w:rsidRPr="00A03F57">
        <w:rPr>
          <w:b/>
          <w:bCs/>
        </w:rPr>
        <w:t>anti-racism</w:t>
      </w:r>
      <w:r>
        <w:t xml:space="preserve"> and explicitly names </w:t>
      </w:r>
      <w:r w:rsidRPr="00A03F57">
        <w:rPr>
          <w:b/>
          <w:bCs/>
        </w:rPr>
        <w:t>anti-Black racism and anti-Indigenous racism</w:t>
      </w:r>
      <w:r>
        <w:t xml:space="preserve"> for the particular ways in which Black communities and Indigenous </w:t>
      </w:r>
      <w:r w:rsidR="00743CB9">
        <w:t xml:space="preserve">people and/or </w:t>
      </w:r>
      <w:r>
        <w:t xml:space="preserve">communities experience harm and structural violence. Throughout the document, “resources” will be used to mean written resources and program </w:t>
      </w:r>
      <w:r w:rsidR="00063DBE">
        <w:t>materials,</w:t>
      </w:r>
      <w:r>
        <w:t xml:space="preserve"> and these can include:</w:t>
      </w:r>
    </w:p>
    <w:p w14:paraId="5FC88E08" w14:textId="77777777" w:rsidR="003D0890" w:rsidRDefault="003D0890" w:rsidP="003D0890">
      <w:pPr>
        <w:pStyle w:val="ListParagraph"/>
        <w:spacing w:after="160" w:line="259" w:lineRule="auto"/>
        <w:rPr>
          <w:sz w:val="24"/>
          <w:szCs w:val="24"/>
        </w:rPr>
      </w:pPr>
    </w:p>
    <w:p w14:paraId="5E6C69CF" w14:textId="790C1683" w:rsidR="007631E1" w:rsidRPr="002A31B6" w:rsidRDefault="007631E1">
      <w:pPr>
        <w:pStyle w:val="ListParagraph"/>
        <w:numPr>
          <w:ilvl w:val="0"/>
          <w:numId w:val="2"/>
        </w:numPr>
        <w:spacing w:after="160" w:line="259" w:lineRule="auto"/>
        <w:rPr>
          <w:sz w:val="24"/>
          <w:szCs w:val="24"/>
        </w:rPr>
      </w:pPr>
      <w:r w:rsidRPr="002A31B6">
        <w:rPr>
          <w:sz w:val="24"/>
          <w:szCs w:val="24"/>
        </w:rPr>
        <w:t>Service brochures</w:t>
      </w:r>
    </w:p>
    <w:p w14:paraId="002415E0" w14:textId="77777777" w:rsidR="007631E1" w:rsidRPr="002A31B6" w:rsidRDefault="007631E1">
      <w:pPr>
        <w:pStyle w:val="ListParagraph"/>
        <w:numPr>
          <w:ilvl w:val="0"/>
          <w:numId w:val="2"/>
        </w:numPr>
        <w:spacing w:after="160" w:line="259" w:lineRule="auto"/>
        <w:rPr>
          <w:sz w:val="24"/>
          <w:szCs w:val="24"/>
        </w:rPr>
      </w:pPr>
      <w:r w:rsidRPr="002A31B6">
        <w:rPr>
          <w:sz w:val="24"/>
          <w:szCs w:val="24"/>
        </w:rPr>
        <w:t>Informational pamphlets</w:t>
      </w:r>
    </w:p>
    <w:p w14:paraId="0367E687" w14:textId="77777777" w:rsidR="007631E1" w:rsidRPr="002A31B6" w:rsidRDefault="007631E1">
      <w:pPr>
        <w:pStyle w:val="ListParagraph"/>
        <w:numPr>
          <w:ilvl w:val="0"/>
          <w:numId w:val="2"/>
        </w:numPr>
        <w:spacing w:after="160" w:line="259" w:lineRule="auto"/>
        <w:rPr>
          <w:sz w:val="24"/>
          <w:szCs w:val="24"/>
        </w:rPr>
      </w:pPr>
      <w:r w:rsidRPr="002A31B6">
        <w:rPr>
          <w:sz w:val="24"/>
          <w:szCs w:val="24"/>
        </w:rPr>
        <w:t>Workshop presentations and handouts</w:t>
      </w:r>
    </w:p>
    <w:p w14:paraId="44038CB4" w14:textId="77777777" w:rsidR="007631E1" w:rsidRPr="002A31B6" w:rsidRDefault="007631E1">
      <w:pPr>
        <w:pStyle w:val="ListParagraph"/>
        <w:numPr>
          <w:ilvl w:val="0"/>
          <w:numId w:val="2"/>
        </w:numPr>
        <w:spacing w:after="160" w:line="259" w:lineRule="auto"/>
        <w:rPr>
          <w:sz w:val="24"/>
          <w:szCs w:val="24"/>
        </w:rPr>
      </w:pPr>
      <w:r w:rsidRPr="002A31B6">
        <w:rPr>
          <w:sz w:val="24"/>
          <w:szCs w:val="24"/>
        </w:rPr>
        <w:t xml:space="preserve">Educational resources </w:t>
      </w:r>
    </w:p>
    <w:bookmarkEnd w:id="3"/>
    <w:p w14:paraId="60CF62D0" w14:textId="77777777" w:rsidR="008A253B" w:rsidRDefault="007631E1" w:rsidP="007631E1">
      <w:r w:rsidRPr="00D43A36">
        <w:t>A resource on anti-racist writing out of Simon Frase</w:t>
      </w:r>
      <w:r>
        <w:t>r</w:t>
      </w:r>
      <w:r w:rsidRPr="00D43A36">
        <w:t xml:space="preserve"> University (2022) states that “Inclusive writing </w:t>
      </w:r>
      <w:r>
        <w:t xml:space="preserve">[content] </w:t>
      </w:r>
      <w:r w:rsidRPr="00D43A36">
        <w:t>means paying attention to the ways that language can be, and has been, used to exclude people or groups of people. Exclusive language is often used unintentionally, out of both habit and assumption. So, if you want to write in an inclusive way, you must </w:t>
      </w:r>
      <w:r w:rsidRPr="00D43A36">
        <w:rPr>
          <w:b/>
          <w:bCs/>
        </w:rPr>
        <w:t>intentionally</w:t>
      </w:r>
      <w:r w:rsidRPr="00D43A36">
        <w:t xml:space="preserve"> think </w:t>
      </w:r>
      <w:r w:rsidRPr="00D43A36">
        <w:lastRenderedPageBreak/>
        <w:t>about the perspectives, peoples, and groups that might be excluded and even harmed through careless word choice.”</w:t>
      </w:r>
      <w:r w:rsidRPr="00D43A36">
        <w:rPr>
          <w:rStyle w:val="FootnoteReference"/>
        </w:rPr>
        <w:footnoteReference w:id="1"/>
      </w:r>
      <w:r>
        <w:t xml:space="preserve">  This statement can be applied to all aspects of written resources and program materials, such as graphics, images and symbols.  </w:t>
      </w:r>
    </w:p>
    <w:p w14:paraId="433913B9" w14:textId="77777777" w:rsidR="008A253B" w:rsidRDefault="008A253B" w:rsidP="007631E1"/>
    <w:p w14:paraId="3883881C" w14:textId="51EA51C9" w:rsidR="00E06353" w:rsidRDefault="008A253B" w:rsidP="007631E1">
      <w:r>
        <w:t>Additionally, the Style Guide for Reporting on Indigenous People (2017) states that, “Indigenous people are the original inhabitants of what is now called Canada. The history, identities and languages of Indigenous people are complex and diverse.  Whenever possible, be specific about the group, people or community, and defer to the community or individual(s) on how they prefer to be identified. In all instances, capitalize.”</w:t>
      </w:r>
      <w:r>
        <w:rPr>
          <w:rStyle w:val="FootnoteReference"/>
        </w:rPr>
        <w:footnoteReference w:id="2"/>
      </w:r>
      <w:r w:rsidR="00E06353">
        <w:t xml:space="preserve">.  It goes on to say that Indigenous people in Canada are categorized by the Canadian government into three distinct groups: First Nations, Inuit and Métis.  For the purpose of this Tool, we will use “Indigenous people and/or communities”. </w:t>
      </w:r>
    </w:p>
    <w:p w14:paraId="377157BA" w14:textId="77777777" w:rsidR="00E06353" w:rsidRDefault="00E06353" w:rsidP="007631E1"/>
    <w:p w14:paraId="5739BE6D" w14:textId="7FB672D9" w:rsidR="007631E1" w:rsidRDefault="007631E1" w:rsidP="007631E1">
      <w:hyperlink w:anchor="_Appendix_A:" w:history="1">
        <w:r w:rsidRPr="003D0890">
          <w:rPr>
            <w:rStyle w:val="Hyperlink"/>
            <w:b/>
            <w:bCs/>
          </w:rPr>
          <w:t>Appendix A</w:t>
        </w:r>
      </w:hyperlink>
      <w:r>
        <w:t xml:space="preserve"> offers more reading on the importance of an anti-racism lens for all your work.</w:t>
      </w:r>
    </w:p>
    <w:p w14:paraId="72FC663D" w14:textId="354A27AA" w:rsidR="00EA45D4" w:rsidRPr="00183A28" w:rsidRDefault="007631E1" w:rsidP="00D66E65">
      <w:pPr>
        <w:pStyle w:val="Heading1"/>
        <w:ind w:left="0"/>
        <w:rPr>
          <w:lang w:val="en-CA"/>
        </w:rPr>
      </w:pPr>
      <w:bookmarkStart w:id="4" w:name="_Toc146132653"/>
      <w:r>
        <w:rPr>
          <w:lang w:val="en-CA"/>
        </w:rPr>
        <w:t xml:space="preserve">How </w:t>
      </w:r>
      <w:r w:rsidR="00063DBE">
        <w:rPr>
          <w:lang w:val="en-CA"/>
        </w:rPr>
        <w:t>D</w:t>
      </w:r>
      <w:r>
        <w:rPr>
          <w:lang w:val="en-CA"/>
        </w:rPr>
        <w:t xml:space="preserve">o I Use </w:t>
      </w:r>
      <w:r w:rsidR="008A253B">
        <w:rPr>
          <w:lang w:val="en-CA"/>
        </w:rPr>
        <w:t>T</w:t>
      </w:r>
      <w:r>
        <w:rPr>
          <w:lang w:val="en-CA"/>
        </w:rPr>
        <w:t>his Tool?</w:t>
      </w:r>
      <w:bookmarkEnd w:id="4"/>
    </w:p>
    <w:p w14:paraId="449118AD" w14:textId="6EABF5AF" w:rsidR="00A35741" w:rsidRDefault="00A35741" w:rsidP="00EA45D4">
      <w:pPr>
        <w:rPr>
          <w:lang w:val="en-CA"/>
        </w:rPr>
      </w:pPr>
    </w:p>
    <w:p w14:paraId="6242B092" w14:textId="445F1B95" w:rsidR="007631E1" w:rsidRDefault="007631E1" w:rsidP="007631E1">
      <w:r>
        <w:t xml:space="preserve">The Tool is composed of a set of </w:t>
      </w:r>
      <w:r w:rsidR="00D66E65">
        <w:t>standards</w:t>
      </w:r>
      <w:r>
        <w:t xml:space="preserve"> that you can score to assess your resources to see where you are doing well and where you can improve.  </w:t>
      </w:r>
      <w:r w:rsidR="003D0890">
        <w:t>Follow the four steps below</w:t>
      </w:r>
      <w:r>
        <w:t xml:space="preserve">. </w:t>
      </w:r>
    </w:p>
    <w:p w14:paraId="57EB317C" w14:textId="77777777" w:rsidR="008A253B" w:rsidRDefault="008A253B" w:rsidP="007631E1"/>
    <w:p w14:paraId="513BF0E1" w14:textId="3564A1C0" w:rsidR="00EA45D4" w:rsidRPr="00D66E65" w:rsidRDefault="00252606" w:rsidP="003D0890">
      <w:pPr>
        <w:pStyle w:val="Heading2"/>
        <w:ind w:left="0"/>
        <w:rPr>
          <w:color w:val="4472C4" w:themeColor="accent1"/>
          <w:lang w:val="en-CA"/>
        </w:rPr>
      </w:pPr>
      <w:bookmarkStart w:id="5" w:name="_Toc146132654"/>
      <w:r w:rsidRPr="00D66E65">
        <w:rPr>
          <w:color w:val="4472C4" w:themeColor="accent1"/>
          <w:lang w:val="en-CA"/>
        </w:rPr>
        <w:t xml:space="preserve">Step 1: </w:t>
      </w:r>
      <w:r w:rsidR="00CA46E6" w:rsidRPr="00D66E65">
        <w:rPr>
          <w:color w:val="4472C4" w:themeColor="accent1"/>
          <w:lang w:val="en-CA"/>
        </w:rPr>
        <w:t xml:space="preserve">Identify </w:t>
      </w:r>
      <w:r w:rsidR="007631E1" w:rsidRPr="00D66E65">
        <w:rPr>
          <w:color w:val="4472C4" w:themeColor="accent1"/>
          <w:lang w:val="en-CA"/>
        </w:rPr>
        <w:t>a Resource to Review</w:t>
      </w:r>
      <w:bookmarkEnd w:id="5"/>
    </w:p>
    <w:p w14:paraId="7D6536E5" w14:textId="77777777" w:rsidR="007631E1" w:rsidRDefault="007631E1" w:rsidP="007631E1"/>
    <w:p w14:paraId="2A7675ED" w14:textId="25FCC32A" w:rsidR="007631E1" w:rsidRDefault="007631E1" w:rsidP="007631E1">
      <w:r w:rsidRPr="00602E05">
        <w:t xml:space="preserve">Identify a resource you want to assess.  It could be one of your more popular resources, or one that you have been considering revising.  </w:t>
      </w:r>
      <w:r>
        <w:t xml:space="preserve">Remember, though, that almost any resource you have could likely be reviewed with an anti-racism lens if it hasn’t been already.  Beyond resources, you could also use the </w:t>
      </w:r>
      <w:r w:rsidR="00D66E65">
        <w:t>standards</w:t>
      </w:r>
      <w:r>
        <w:t xml:space="preserve"> to consider how such things as program policies, Board policies and  partnership agreements align with anti-racist principles, practice and language.</w:t>
      </w:r>
    </w:p>
    <w:p w14:paraId="527BC769" w14:textId="293323DE" w:rsidR="00252606" w:rsidRPr="00D66E65" w:rsidRDefault="00252606" w:rsidP="003D0890">
      <w:pPr>
        <w:pStyle w:val="Heading2"/>
        <w:ind w:left="0"/>
        <w:rPr>
          <w:color w:val="4472C4" w:themeColor="accent1"/>
          <w:lang w:val="en-CA"/>
        </w:rPr>
      </w:pPr>
      <w:bookmarkStart w:id="6" w:name="_Toc146132655"/>
      <w:r w:rsidRPr="00D66E65">
        <w:rPr>
          <w:color w:val="4472C4" w:themeColor="accent1"/>
          <w:lang w:val="en-CA"/>
        </w:rPr>
        <w:lastRenderedPageBreak/>
        <w:t xml:space="preserve">Step 2: </w:t>
      </w:r>
      <w:r w:rsidR="00574844" w:rsidRPr="00D66E65">
        <w:rPr>
          <w:color w:val="4472C4" w:themeColor="accent1"/>
          <w:lang w:val="en-CA"/>
        </w:rPr>
        <w:t>D</w:t>
      </w:r>
      <w:r w:rsidR="007631E1" w:rsidRPr="00D66E65">
        <w:rPr>
          <w:color w:val="4472C4" w:themeColor="accent1"/>
          <w:lang w:val="en-CA"/>
        </w:rPr>
        <w:t>etermine Who Should Review the Resource</w:t>
      </w:r>
      <w:bookmarkEnd w:id="6"/>
    </w:p>
    <w:p w14:paraId="7F726EE7" w14:textId="77777777" w:rsidR="007631E1" w:rsidRDefault="007631E1" w:rsidP="007631E1">
      <w:pPr>
        <w:rPr>
          <w:lang w:val="en-CA"/>
        </w:rPr>
      </w:pPr>
    </w:p>
    <w:p w14:paraId="7EA49088" w14:textId="4DA9A02B" w:rsidR="007631E1" w:rsidRDefault="007631E1" w:rsidP="007631E1">
      <w:r>
        <w:t>Determine who should be involved in reviewing the resource:</w:t>
      </w:r>
    </w:p>
    <w:p w14:paraId="2BB2117F" w14:textId="77777777" w:rsidR="007631E1" w:rsidRDefault="007631E1" w:rsidP="007631E1">
      <w:pPr>
        <w:rPr>
          <w:u w:val="single"/>
        </w:rPr>
      </w:pPr>
    </w:p>
    <w:p w14:paraId="0A49AB65" w14:textId="7F436257" w:rsidR="007631E1" w:rsidRDefault="007631E1" w:rsidP="007631E1">
      <w:r w:rsidRPr="00E707BF">
        <w:rPr>
          <w:b/>
          <w:bCs/>
          <w:u w:val="single"/>
        </w:rPr>
        <w:t>The intended audience for the resource</w:t>
      </w:r>
      <w:r w:rsidR="00E707BF">
        <w:rPr>
          <w:b/>
          <w:bCs/>
          <w:u w:val="single"/>
        </w:rPr>
        <w:t>:</w:t>
      </w:r>
      <w:r>
        <w:t xml:space="preserve"> this may involve asking individuals from the intended audience (e.g., service users, volunteers, peers and/or community members) to audit the resource individually using the tool.  You may also decide to engage intended audience members through a focus group discussion where a facilitator uses the tool to gather feedback.  Consider having a facilitator that is not a staff person in order to </w:t>
      </w:r>
      <w:r w:rsidR="00E707BF">
        <w:t xml:space="preserve">help </w:t>
      </w:r>
      <w:r>
        <w:t>create a safer space to give feedback o</w:t>
      </w:r>
      <w:r w:rsidR="00E707BF">
        <w:t>n</w:t>
      </w:r>
      <w:r>
        <w:t xml:space="preserve"> the resource. </w:t>
      </w:r>
    </w:p>
    <w:p w14:paraId="20A13703" w14:textId="77777777" w:rsidR="007631E1" w:rsidRDefault="007631E1" w:rsidP="007631E1">
      <w:pPr>
        <w:rPr>
          <w:u w:val="single"/>
        </w:rPr>
      </w:pPr>
    </w:p>
    <w:p w14:paraId="4740EA14" w14:textId="6955EE3B" w:rsidR="007631E1" w:rsidRDefault="007631E1" w:rsidP="007631E1">
      <w:r w:rsidRPr="00E707BF">
        <w:rPr>
          <w:b/>
          <w:bCs/>
          <w:u w:val="single"/>
        </w:rPr>
        <w:t>Staff</w:t>
      </w:r>
      <w:r w:rsidRPr="00E707BF">
        <w:rPr>
          <w:b/>
          <w:bCs/>
        </w:rPr>
        <w:t>:</w:t>
      </w:r>
      <w:r>
        <w:t xml:space="preserve"> staff may include the individual(s) who developed the resource, the individual(s) most responsible for developing resources in the organization, identified senior leaders and/or those with expertise in the subject matter of the resource.  It is best if each individual identified for the review completes the Tool on their own.</w:t>
      </w:r>
      <w:r w:rsidRPr="004F263F">
        <w:t xml:space="preserve"> </w:t>
      </w:r>
    </w:p>
    <w:p w14:paraId="0049365A" w14:textId="77777777" w:rsidR="00413B97" w:rsidRDefault="00413B97" w:rsidP="007631E1"/>
    <w:p w14:paraId="2060D76F" w14:textId="7DA09195" w:rsidR="007631E1" w:rsidRDefault="007631E1" w:rsidP="007631E1">
      <w:r>
        <w:t>A</w:t>
      </w:r>
      <w:r w:rsidRPr="003F2D54">
        <w:t xml:space="preserve">fter </w:t>
      </w:r>
      <w:r>
        <w:t xml:space="preserve">the resource is reviewed, </w:t>
      </w:r>
      <w:r w:rsidRPr="003F2D54">
        <w:t xml:space="preserve">hold a </w:t>
      </w:r>
      <w:r>
        <w:t>d</w:t>
      </w:r>
      <w:r w:rsidRPr="003F2D54">
        <w:t xml:space="preserve">iscussion with </w:t>
      </w:r>
      <w:r w:rsidR="00E707BF">
        <w:t>e</w:t>
      </w:r>
      <w:r>
        <w:t xml:space="preserve">veryone </w:t>
      </w:r>
      <w:r w:rsidRPr="003F2D54">
        <w:t xml:space="preserve">who completed the </w:t>
      </w:r>
      <w:r>
        <w:t>Tool</w:t>
      </w:r>
      <w:r w:rsidRPr="003F2D54">
        <w:t xml:space="preserve"> in order to </w:t>
      </w:r>
      <w:r>
        <w:t xml:space="preserve">review </w:t>
      </w:r>
      <w:r w:rsidRPr="003F2D54">
        <w:t xml:space="preserve">the results. </w:t>
      </w:r>
      <w:r>
        <w:t>Incorporate any focus group data gathered in that discussion.  S</w:t>
      </w:r>
      <w:r w:rsidRPr="003F2D54">
        <w:t xml:space="preserve">ee where </w:t>
      </w:r>
      <w:r>
        <w:t xml:space="preserve">people agreed and where they didn’t in terms of the checkmarks; </w:t>
      </w:r>
      <w:r w:rsidRPr="003F2D54">
        <w:t>discuss differen</w:t>
      </w:r>
      <w:r>
        <w:t>ces in the assessment of the tool and why they may be occurring</w:t>
      </w:r>
      <w:r w:rsidRPr="003F2D54">
        <w:t xml:space="preserve">. </w:t>
      </w:r>
    </w:p>
    <w:p w14:paraId="59042329" w14:textId="32CFD533" w:rsidR="00252606" w:rsidRPr="00D66E65" w:rsidRDefault="00252606" w:rsidP="003D0890">
      <w:pPr>
        <w:pStyle w:val="Heading2"/>
        <w:ind w:left="0"/>
        <w:rPr>
          <w:color w:val="4472C4" w:themeColor="accent1"/>
          <w:lang w:val="en-CA"/>
        </w:rPr>
      </w:pPr>
      <w:bookmarkStart w:id="7" w:name="_Toc146132656"/>
      <w:r w:rsidRPr="00D66E65">
        <w:rPr>
          <w:color w:val="4472C4" w:themeColor="accent1"/>
          <w:lang w:val="en-CA"/>
        </w:rPr>
        <w:t xml:space="preserve">Step 3: </w:t>
      </w:r>
      <w:r w:rsidR="00413B97" w:rsidRPr="00D66E65">
        <w:rPr>
          <w:color w:val="4472C4" w:themeColor="accent1"/>
          <w:lang w:val="en-CA"/>
        </w:rPr>
        <w:t xml:space="preserve">Familiarize Yourself with the </w:t>
      </w:r>
      <w:r w:rsidR="00D66E65">
        <w:rPr>
          <w:color w:val="4472C4" w:themeColor="accent1"/>
          <w:lang w:val="en-CA"/>
        </w:rPr>
        <w:t>Standards</w:t>
      </w:r>
      <w:bookmarkEnd w:id="7"/>
    </w:p>
    <w:p w14:paraId="2256A295" w14:textId="77777777" w:rsidR="00413B97" w:rsidRDefault="00413B97" w:rsidP="00413B97"/>
    <w:p w14:paraId="77FF9D62" w14:textId="03147196" w:rsidR="00413B97" w:rsidRDefault="00413B97" w:rsidP="00413B97">
      <w:r>
        <w:t>Your review of your resource will be much more effective if you take a few minutes and re</w:t>
      </w:r>
      <w:r w:rsidR="00063DBE">
        <w:t>view</w:t>
      </w:r>
      <w:r>
        <w:t xml:space="preserve"> the 14 </w:t>
      </w:r>
      <w:r w:rsidR="00D66E65">
        <w:t>standards</w:t>
      </w:r>
      <w:r>
        <w:t xml:space="preserve"> below</w:t>
      </w:r>
      <w:r w:rsidR="003D0890">
        <w:t xml:space="preserve"> in Step 4</w:t>
      </w:r>
      <w:r>
        <w:t xml:space="preserve">.  This will help you to be more efficient with your time, </w:t>
      </w:r>
      <w:r w:rsidR="00E707BF">
        <w:t xml:space="preserve">because </w:t>
      </w:r>
      <w:r>
        <w:t xml:space="preserve">when you go to review your resource, you will already have the </w:t>
      </w:r>
      <w:r w:rsidR="00D66E65">
        <w:t>standards</w:t>
      </w:r>
      <w:r>
        <w:t xml:space="preserve"> in mind.  </w:t>
      </w:r>
    </w:p>
    <w:p w14:paraId="10F4F330" w14:textId="733FF274" w:rsidR="00252606" w:rsidRPr="00D66E65" w:rsidRDefault="00252606" w:rsidP="003D0890">
      <w:pPr>
        <w:pStyle w:val="Heading2"/>
        <w:ind w:left="0"/>
        <w:rPr>
          <w:color w:val="4472C4" w:themeColor="accent1"/>
          <w:lang w:val="en-CA"/>
        </w:rPr>
      </w:pPr>
      <w:bookmarkStart w:id="8" w:name="_Toc146132657"/>
      <w:r w:rsidRPr="00D66E65">
        <w:rPr>
          <w:color w:val="4472C4" w:themeColor="accent1"/>
          <w:lang w:val="en-CA"/>
        </w:rPr>
        <w:t xml:space="preserve">Step 4: </w:t>
      </w:r>
      <w:r w:rsidR="00413B97" w:rsidRPr="00D66E65">
        <w:rPr>
          <w:color w:val="4472C4" w:themeColor="accent1"/>
          <w:lang w:val="en-CA"/>
        </w:rPr>
        <w:t>Review the Resource!</w:t>
      </w:r>
      <w:bookmarkEnd w:id="8"/>
    </w:p>
    <w:p w14:paraId="342D2B08" w14:textId="43D8A1DB" w:rsidR="00252606" w:rsidRDefault="00252606" w:rsidP="00EA45D4">
      <w:pPr>
        <w:rPr>
          <w:lang w:val="en-CA"/>
        </w:rPr>
      </w:pPr>
    </w:p>
    <w:p w14:paraId="47A06479" w14:textId="77777777" w:rsidR="003B25DF" w:rsidRPr="00692648" w:rsidRDefault="003B25DF">
      <w:pPr>
        <w:pStyle w:val="NoSpacing"/>
        <w:numPr>
          <w:ilvl w:val="0"/>
          <w:numId w:val="3"/>
        </w:numPr>
        <w:rPr>
          <w:rFonts w:asciiTheme="minorHAnsi" w:hAnsiTheme="minorHAnsi" w:cstheme="minorHAnsi"/>
          <w:sz w:val="24"/>
          <w:szCs w:val="24"/>
        </w:rPr>
      </w:pPr>
      <w:r w:rsidRPr="00692648">
        <w:rPr>
          <w:rFonts w:asciiTheme="minorHAnsi" w:hAnsiTheme="minorHAnsi" w:cstheme="minorHAnsi"/>
          <w:sz w:val="24"/>
          <w:szCs w:val="24"/>
        </w:rPr>
        <w:t>Name of Resource:</w:t>
      </w:r>
    </w:p>
    <w:p w14:paraId="6F3B4FCB" w14:textId="77777777" w:rsidR="003B25DF" w:rsidRDefault="003B25DF" w:rsidP="003B25DF">
      <w:pPr>
        <w:pStyle w:val="NoSpacing"/>
        <w:rPr>
          <w:rFonts w:asciiTheme="minorHAnsi" w:hAnsiTheme="minorHAnsi" w:cstheme="minorHAnsi"/>
          <w:sz w:val="24"/>
          <w:szCs w:val="24"/>
        </w:rPr>
      </w:pPr>
    </w:p>
    <w:p w14:paraId="719CBA60" w14:textId="77777777" w:rsidR="003D0890" w:rsidRPr="00692648" w:rsidRDefault="003D0890" w:rsidP="003B25DF">
      <w:pPr>
        <w:pStyle w:val="NoSpacing"/>
        <w:rPr>
          <w:rFonts w:asciiTheme="minorHAnsi" w:hAnsiTheme="minorHAnsi" w:cstheme="minorHAnsi"/>
          <w:sz w:val="24"/>
          <w:szCs w:val="24"/>
        </w:rPr>
      </w:pPr>
    </w:p>
    <w:p w14:paraId="517116C8" w14:textId="77777777" w:rsidR="003B25DF" w:rsidRPr="00692648" w:rsidRDefault="003B25DF">
      <w:pPr>
        <w:pStyle w:val="NoSpacing"/>
        <w:numPr>
          <w:ilvl w:val="0"/>
          <w:numId w:val="3"/>
        </w:numPr>
        <w:rPr>
          <w:rFonts w:asciiTheme="minorHAnsi" w:hAnsiTheme="minorHAnsi" w:cstheme="minorHAnsi"/>
          <w:sz w:val="24"/>
          <w:szCs w:val="24"/>
        </w:rPr>
      </w:pPr>
      <w:r w:rsidRPr="00692648">
        <w:rPr>
          <w:rFonts w:asciiTheme="minorHAnsi" w:hAnsiTheme="minorHAnsi" w:cstheme="minorHAnsi"/>
          <w:sz w:val="24"/>
          <w:szCs w:val="24"/>
        </w:rPr>
        <w:t xml:space="preserve">Type of Resource (e.g., service brochure, informational pamphlet, workshop presentation, educational resource): </w:t>
      </w:r>
    </w:p>
    <w:p w14:paraId="7A83D031" w14:textId="77777777" w:rsidR="003B25DF" w:rsidRDefault="003B25DF" w:rsidP="003B25DF">
      <w:pPr>
        <w:pStyle w:val="NoSpacing"/>
        <w:rPr>
          <w:rFonts w:asciiTheme="minorHAnsi" w:hAnsiTheme="minorHAnsi" w:cstheme="minorHAnsi"/>
          <w:sz w:val="24"/>
          <w:szCs w:val="24"/>
        </w:rPr>
      </w:pPr>
    </w:p>
    <w:p w14:paraId="310CB4EE" w14:textId="77777777" w:rsidR="003D0890" w:rsidRPr="00692648" w:rsidRDefault="003D0890" w:rsidP="003B25DF">
      <w:pPr>
        <w:pStyle w:val="NoSpacing"/>
        <w:rPr>
          <w:rFonts w:asciiTheme="minorHAnsi" w:hAnsiTheme="minorHAnsi" w:cstheme="minorHAnsi"/>
          <w:sz w:val="24"/>
          <w:szCs w:val="24"/>
        </w:rPr>
      </w:pPr>
    </w:p>
    <w:p w14:paraId="2DD6EA54" w14:textId="77777777" w:rsidR="003B25DF" w:rsidRPr="00692648" w:rsidRDefault="003B25DF">
      <w:pPr>
        <w:pStyle w:val="NoSpacing"/>
        <w:numPr>
          <w:ilvl w:val="0"/>
          <w:numId w:val="3"/>
        </w:numPr>
        <w:rPr>
          <w:rFonts w:asciiTheme="minorHAnsi" w:hAnsiTheme="minorHAnsi" w:cstheme="minorHAnsi"/>
          <w:sz w:val="24"/>
          <w:szCs w:val="24"/>
        </w:rPr>
      </w:pPr>
      <w:r w:rsidRPr="00692648">
        <w:rPr>
          <w:rFonts w:asciiTheme="minorHAnsi" w:hAnsiTheme="minorHAnsi" w:cstheme="minorHAnsi"/>
          <w:sz w:val="24"/>
          <w:szCs w:val="24"/>
        </w:rPr>
        <w:lastRenderedPageBreak/>
        <w:t>Target Audience (if any):</w:t>
      </w:r>
    </w:p>
    <w:p w14:paraId="28E85C2D" w14:textId="77777777" w:rsidR="003B25DF" w:rsidRDefault="003B25DF" w:rsidP="003B25DF">
      <w:pPr>
        <w:pStyle w:val="NoSpacing"/>
        <w:rPr>
          <w:rFonts w:asciiTheme="minorHAnsi" w:hAnsiTheme="minorHAnsi" w:cstheme="minorHAnsi"/>
          <w:highlight w:val="green"/>
        </w:rPr>
      </w:pPr>
    </w:p>
    <w:p w14:paraId="602D7822" w14:textId="77777777" w:rsidR="003D0890" w:rsidRPr="00692648" w:rsidRDefault="003D0890" w:rsidP="003B25DF">
      <w:pPr>
        <w:pStyle w:val="NoSpacing"/>
        <w:rPr>
          <w:rFonts w:asciiTheme="minorHAnsi" w:hAnsiTheme="minorHAnsi" w:cstheme="minorHAnsi"/>
          <w:highlight w:val="green"/>
        </w:rPr>
      </w:pPr>
    </w:p>
    <w:p w14:paraId="75250502" w14:textId="56F91B5B" w:rsidR="003B25DF" w:rsidRDefault="003B25DF" w:rsidP="003D0890">
      <w:pPr>
        <w:spacing w:after="160" w:line="259" w:lineRule="auto"/>
        <w:rPr>
          <w:rFonts w:cstheme="minorHAnsi"/>
        </w:rPr>
      </w:pPr>
      <w:r w:rsidRPr="003D0890">
        <w:rPr>
          <w:rFonts w:cstheme="minorHAnsi"/>
        </w:rPr>
        <w:t xml:space="preserve">Read through each of the </w:t>
      </w:r>
      <w:r w:rsidR="00D66E65">
        <w:rPr>
          <w:rFonts w:cstheme="minorHAnsi"/>
        </w:rPr>
        <w:t>standards</w:t>
      </w:r>
      <w:r w:rsidRPr="003D0890">
        <w:rPr>
          <w:rFonts w:cstheme="minorHAnsi"/>
        </w:rPr>
        <w:t xml:space="preserve"> below and think about the degree to which your resource reflects each one. Put a checkmark in the appropriate box for each </w:t>
      </w:r>
      <w:r w:rsidR="003D148B">
        <w:rPr>
          <w:rFonts w:cstheme="minorHAnsi"/>
        </w:rPr>
        <w:t>standard</w:t>
      </w:r>
      <w:r w:rsidRPr="003D0890">
        <w:rPr>
          <w:rFonts w:cstheme="minorHAnsi"/>
        </w:rPr>
        <w:t xml:space="preserve">. </w:t>
      </w:r>
    </w:p>
    <w:p w14:paraId="13F922BA" w14:textId="77777777" w:rsidR="003D0890" w:rsidRPr="003D0890" w:rsidRDefault="003D0890" w:rsidP="003D0890">
      <w:pPr>
        <w:spacing w:after="160" w:line="259" w:lineRule="auto"/>
        <w:rPr>
          <w:rFonts w:cstheme="minorHAnsi"/>
        </w:rPr>
      </w:pPr>
    </w:p>
    <w:tbl>
      <w:tblPr>
        <w:tblStyle w:val="TableGrid"/>
        <w:tblW w:w="5692" w:type="pct"/>
        <w:tblInd w:w="-856" w:type="dxa"/>
        <w:tblLayout w:type="fixed"/>
        <w:tblLook w:val="04A0" w:firstRow="1" w:lastRow="0" w:firstColumn="1" w:lastColumn="0" w:noHBand="0" w:noVBand="1"/>
      </w:tblPr>
      <w:tblGrid>
        <w:gridCol w:w="425"/>
        <w:gridCol w:w="5251"/>
        <w:gridCol w:w="1191"/>
        <w:gridCol w:w="1191"/>
        <w:gridCol w:w="1191"/>
        <w:gridCol w:w="1191"/>
        <w:gridCol w:w="1191"/>
        <w:gridCol w:w="3111"/>
      </w:tblGrid>
      <w:tr w:rsidR="003D0890" w:rsidRPr="00692648" w14:paraId="28F44621" w14:textId="77777777" w:rsidTr="00F91FBB">
        <w:trPr>
          <w:tblHeader/>
        </w:trPr>
        <w:tc>
          <w:tcPr>
            <w:tcW w:w="144" w:type="pct"/>
            <w:shd w:val="clear" w:color="auto" w:fill="FBE4D5" w:themeFill="accent2" w:themeFillTint="33"/>
          </w:tcPr>
          <w:p w14:paraId="3163E65C" w14:textId="77777777" w:rsidR="00692648" w:rsidRPr="00692648" w:rsidRDefault="00692648" w:rsidP="00692648">
            <w:pPr>
              <w:ind w:left="360"/>
              <w:jc w:val="both"/>
              <w:rPr>
                <w:b/>
                <w:bCs/>
                <w:color w:val="5A5A5A" w:themeColor="text1" w:themeTint="A5"/>
                <w:spacing w:val="15"/>
                <w:sz w:val="22"/>
                <w:szCs w:val="22"/>
                <w:lang w:val="en-CA" w:eastAsia="en-US"/>
              </w:rPr>
            </w:pPr>
          </w:p>
        </w:tc>
        <w:tc>
          <w:tcPr>
            <w:tcW w:w="1781" w:type="pct"/>
            <w:shd w:val="clear" w:color="auto" w:fill="FBE4D5" w:themeFill="accent2" w:themeFillTint="33"/>
          </w:tcPr>
          <w:p w14:paraId="60892652" w14:textId="77777777" w:rsidR="00692648" w:rsidRPr="00692648" w:rsidRDefault="00692648" w:rsidP="00692648">
            <w:pPr>
              <w:numPr>
                <w:ilvl w:val="1"/>
                <w:numId w:val="0"/>
              </w:numPr>
              <w:rPr>
                <w:b/>
                <w:bCs/>
                <w:color w:val="5A5A5A" w:themeColor="text1" w:themeTint="A5"/>
                <w:spacing w:val="15"/>
                <w:sz w:val="22"/>
                <w:szCs w:val="22"/>
                <w:lang w:val="en-CA" w:eastAsia="en-US"/>
              </w:rPr>
            </w:pPr>
            <w:r w:rsidRPr="00692648">
              <w:rPr>
                <w:b/>
                <w:bCs/>
                <w:color w:val="5A5A5A" w:themeColor="text1" w:themeTint="A5"/>
                <w:spacing w:val="15"/>
                <w:sz w:val="22"/>
                <w:szCs w:val="22"/>
                <w:lang w:val="en-CA" w:eastAsia="en-US"/>
              </w:rPr>
              <w:t>Standard</w:t>
            </w:r>
          </w:p>
        </w:tc>
        <w:tc>
          <w:tcPr>
            <w:tcW w:w="404" w:type="pct"/>
            <w:shd w:val="clear" w:color="auto" w:fill="FBE4D5" w:themeFill="accent2" w:themeFillTint="33"/>
          </w:tcPr>
          <w:p w14:paraId="088FFBE6" w14:textId="77777777" w:rsidR="00692648" w:rsidRPr="00692648" w:rsidRDefault="00692648" w:rsidP="00692648">
            <w:pPr>
              <w:numPr>
                <w:ilvl w:val="1"/>
                <w:numId w:val="0"/>
              </w:numPr>
              <w:rPr>
                <w:b/>
                <w:bCs/>
                <w:color w:val="5A5A5A" w:themeColor="text1" w:themeTint="A5"/>
                <w:spacing w:val="15"/>
                <w:sz w:val="22"/>
                <w:szCs w:val="22"/>
                <w:lang w:val="en-CA" w:eastAsia="en-US"/>
              </w:rPr>
            </w:pPr>
            <w:r w:rsidRPr="00692648">
              <w:rPr>
                <w:b/>
                <w:bCs/>
                <w:color w:val="5A5A5A" w:themeColor="text1" w:themeTint="A5"/>
                <w:spacing w:val="15"/>
                <w:sz w:val="22"/>
                <w:szCs w:val="22"/>
                <w:lang w:val="en-CA" w:eastAsia="en-US"/>
              </w:rPr>
              <w:t>Low/No Degree</w:t>
            </w:r>
          </w:p>
        </w:tc>
        <w:tc>
          <w:tcPr>
            <w:tcW w:w="404" w:type="pct"/>
            <w:shd w:val="clear" w:color="auto" w:fill="FBE4D5" w:themeFill="accent2" w:themeFillTint="33"/>
          </w:tcPr>
          <w:p w14:paraId="16BF4D72" w14:textId="77777777" w:rsidR="00692648" w:rsidRPr="00692648" w:rsidRDefault="00692648" w:rsidP="00692648">
            <w:pPr>
              <w:numPr>
                <w:ilvl w:val="1"/>
                <w:numId w:val="0"/>
              </w:numPr>
              <w:rPr>
                <w:b/>
                <w:bCs/>
                <w:color w:val="5A5A5A" w:themeColor="text1" w:themeTint="A5"/>
                <w:spacing w:val="15"/>
                <w:sz w:val="22"/>
                <w:szCs w:val="22"/>
                <w:lang w:val="en-CA" w:eastAsia="en-US"/>
              </w:rPr>
            </w:pPr>
            <w:r w:rsidRPr="00692648">
              <w:rPr>
                <w:b/>
                <w:bCs/>
                <w:color w:val="5A5A5A" w:themeColor="text1" w:themeTint="A5"/>
                <w:spacing w:val="15"/>
                <w:sz w:val="22"/>
                <w:szCs w:val="22"/>
                <w:lang w:val="en-CA" w:eastAsia="en-US"/>
              </w:rPr>
              <w:t>To Some Degree</w:t>
            </w:r>
          </w:p>
        </w:tc>
        <w:tc>
          <w:tcPr>
            <w:tcW w:w="404" w:type="pct"/>
            <w:shd w:val="clear" w:color="auto" w:fill="FBE4D5" w:themeFill="accent2" w:themeFillTint="33"/>
          </w:tcPr>
          <w:p w14:paraId="440ACC4E" w14:textId="77777777" w:rsidR="00692648" w:rsidRPr="00692648" w:rsidRDefault="00692648" w:rsidP="00692648">
            <w:pPr>
              <w:numPr>
                <w:ilvl w:val="1"/>
                <w:numId w:val="0"/>
              </w:numPr>
              <w:rPr>
                <w:b/>
                <w:bCs/>
                <w:color w:val="5A5A5A" w:themeColor="text1" w:themeTint="A5"/>
                <w:spacing w:val="15"/>
                <w:sz w:val="22"/>
                <w:szCs w:val="22"/>
                <w:lang w:val="en-CA" w:eastAsia="en-US"/>
              </w:rPr>
            </w:pPr>
            <w:r w:rsidRPr="00692648">
              <w:rPr>
                <w:b/>
                <w:bCs/>
                <w:color w:val="5A5A5A" w:themeColor="text1" w:themeTint="A5"/>
                <w:spacing w:val="15"/>
                <w:sz w:val="22"/>
                <w:szCs w:val="22"/>
                <w:lang w:val="en-CA" w:eastAsia="en-US"/>
              </w:rPr>
              <w:t>High Degree</w:t>
            </w:r>
          </w:p>
        </w:tc>
        <w:tc>
          <w:tcPr>
            <w:tcW w:w="404" w:type="pct"/>
            <w:shd w:val="clear" w:color="auto" w:fill="FBE4D5" w:themeFill="accent2" w:themeFillTint="33"/>
          </w:tcPr>
          <w:p w14:paraId="6D4CA785" w14:textId="77777777" w:rsidR="00692648" w:rsidRPr="00692648" w:rsidRDefault="00692648" w:rsidP="00692648">
            <w:pPr>
              <w:numPr>
                <w:ilvl w:val="1"/>
                <w:numId w:val="0"/>
              </w:numPr>
              <w:rPr>
                <w:b/>
                <w:bCs/>
                <w:color w:val="5A5A5A" w:themeColor="text1" w:themeTint="A5"/>
                <w:spacing w:val="15"/>
                <w:sz w:val="22"/>
                <w:szCs w:val="22"/>
                <w:lang w:val="en-CA" w:eastAsia="en-US"/>
              </w:rPr>
            </w:pPr>
            <w:r w:rsidRPr="00692648">
              <w:rPr>
                <w:b/>
                <w:bCs/>
                <w:color w:val="5A5A5A" w:themeColor="text1" w:themeTint="A5"/>
                <w:spacing w:val="15"/>
                <w:sz w:val="22"/>
                <w:szCs w:val="22"/>
                <w:lang w:val="en-CA" w:eastAsia="en-US"/>
              </w:rPr>
              <w:t>Don’t Know</w:t>
            </w:r>
          </w:p>
        </w:tc>
        <w:tc>
          <w:tcPr>
            <w:tcW w:w="404" w:type="pct"/>
            <w:shd w:val="clear" w:color="auto" w:fill="FBE4D5" w:themeFill="accent2" w:themeFillTint="33"/>
          </w:tcPr>
          <w:p w14:paraId="30C39BB1" w14:textId="77777777" w:rsidR="00692648" w:rsidRPr="00692648" w:rsidRDefault="00692648" w:rsidP="00692648">
            <w:pPr>
              <w:numPr>
                <w:ilvl w:val="1"/>
                <w:numId w:val="0"/>
              </w:numPr>
              <w:rPr>
                <w:b/>
                <w:bCs/>
                <w:color w:val="5A5A5A" w:themeColor="text1" w:themeTint="A5"/>
                <w:spacing w:val="15"/>
                <w:sz w:val="22"/>
                <w:szCs w:val="22"/>
                <w:lang w:val="en-CA" w:eastAsia="en-US"/>
              </w:rPr>
            </w:pPr>
            <w:r w:rsidRPr="00692648">
              <w:rPr>
                <w:b/>
                <w:bCs/>
                <w:color w:val="5A5A5A" w:themeColor="text1" w:themeTint="A5"/>
                <w:spacing w:val="15"/>
                <w:sz w:val="22"/>
                <w:szCs w:val="22"/>
                <w:lang w:val="en-CA" w:eastAsia="en-US"/>
              </w:rPr>
              <w:t xml:space="preserve">Not </w:t>
            </w:r>
            <w:r w:rsidRPr="00F91FBB">
              <w:rPr>
                <w:b/>
                <w:bCs/>
                <w:color w:val="5A5A5A" w:themeColor="text1" w:themeTint="A5"/>
                <w:spacing w:val="15"/>
                <w:sz w:val="18"/>
                <w:szCs w:val="18"/>
                <w:lang w:val="en-CA" w:eastAsia="en-US"/>
              </w:rPr>
              <w:t>Applicable</w:t>
            </w:r>
          </w:p>
        </w:tc>
        <w:tc>
          <w:tcPr>
            <w:tcW w:w="1056" w:type="pct"/>
            <w:shd w:val="clear" w:color="auto" w:fill="FBE4D5" w:themeFill="accent2" w:themeFillTint="33"/>
          </w:tcPr>
          <w:p w14:paraId="5B38B13D" w14:textId="77777777" w:rsidR="00692648" w:rsidRPr="00692648" w:rsidRDefault="00692648" w:rsidP="00692648">
            <w:pPr>
              <w:numPr>
                <w:ilvl w:val="1"/>
                <w:numId w:val="0"/>
              </w:numPr>
              <w:rPr>
                <w:b/>
                <w:bCs/>
                <w:color w:val="5A5A5A" w:themeColor="text1" w:themeTint="A5"/>
                <w:spacing w:val="15"/>
                <w:sz w:val="22"/>
                <w:szCs w:val="22"/>
                <w:lang w:val="en-CA" w:eastAsia="en-US"/>
              </w:rPr>
            </w:pPr>
            <w:r w:rsidRPr="00692648">
              <w:rPr>
                <w:b/>
                <w:bCs/>
                <w:color w:val="5A5A5A" w:themeColor="text1" w:themeTint="A5"/>
                <w:spacing w:val="15"/>
                <w:sz w:val="22"/>
                <w:szCs w:val="22"/>
                <w:lang w:val="en-CA" w:eastAsia="en-US"/>
              </w:rPr>
              <w:t xml:space="preserve">Notes </w:t>
            </w:r>
          </w:p>
        </w:tc>
      </w:tr>
      <w:tr w:rsidR="00D66E65" w:rsidRPr="00692648" w14:paraId="2561B784" w14:textId="77777777" w:rsidTr="00F91FBB">
        <w:tc>
          <w:tcPr>
            <w:tcW w:w="144" w:type="pct"/>
          </w:tcPr>
          <w:p w14:paraId="3E333914" w14:textId="77777777" w:rsidR="00692648" w:rsidRPr="00692648" w:rsidRDefault="00692648" w:rsidP="00692648">
            <w:pPr>
              <w:rPr>
                <w:rFonts w:eastAsiaTheme="minorHAnsi"/>
                <w:sz w:val="20"/>
                <w:szCs w:val="20"/>
                <w:lang w:val="en-CA" w:eastAsia="en-US"/>
              </w:rPr>
            </w:pPr>
            <w:r w:rsidRPr="00692648">
              <w:rPr>
                <w:rFonts w:eastAsiaTheme="minorHAnsi"/>
                <w:sz w:val="20"/>
                <w:szCs w:val="20"/>
                <w:lang w:val="en-CA" w:eastAsia="en-US"/>
              </w:rPr>
              <w:t>1</w:t>
            </w:r>
          </w:p>
        </w:tc>
        <w:tc>
          <w:tcPr>
            <w:tcW w:w="1781" w:type="pct"/>
          </w:tcPr>
          <w:p w14:paraId="4E218CFB" w14:textId="392DDC09"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 xml:space="preserve">The resource presents information about HIV/AIDS in a way that respects current-day social contexts, including identifying how barriers impact Black, Indigenous </w:t>
            </w:r>
            <w:r w:rsidR="00E06353">
              <w:rPr>
                <w:rFonts w:eastAsiaTheme="minorHAnsi"/>
                <w:sz w:val="22"/>
                <w:szCs w:val="22"/>
                <w:lang w:val="en-CA" w:eastAsia="en-US"/>
              </w:rPr>
              <w:t xml:space="preserve">people and/or communities and </w:t>
            </w:r>
            <w:r w:rsidRPr="00692648">
              <w:rPr>
                <w:rFonts w:eastAsiaTheme="minorHAnsi"/>
                <w:sz w:val="22"/>
                <w:szCs w:val="22"/>
                <w:lang w:val="en-CA" w:eastAsia="en-US"/>
              </w:rPr>
              <w:t xml:space="preserve">racialized </w:t>
            </w:r>
            <w:r w:rsidR="00D66E65" w:rsidRPr="00692648">
              <w:rPr>
                <w:rFonts w:eastAsiaTheme="minorHAnsi"/>
                <w:sz w:val="22"/>
                <w:szCs w:val="22"/>
                <w:lang w:val="en-CA" w:eastAsia="en-US"/>
              </w:rPr>
              <w:t>communities’</w:t>
            </w:r>
            <w:r w:rsidRPr="00692648">
              <w:rPr>
                <w:rFonts w:eastAsiaTheme="minorHAnsi"/>
                <w:sz w:val="22"/>
                <w:szCs w:val="22"/>
                <w:lang w:val="en-CA" w:eastAsia="en-US"/>
              </w:rPr>
              <w:t xml:space="preserve"> experience </w:t>
            </w:r>
            <w:r w:rsidR="00F91FBB">
              <w:rPr>
                <w:rFonts w:eastAsiaTheme="minorHAnsi"/>
                <w:sz w:val="22"/>
                <w:szCs w:val="22"/>
                <w:lang w:val="en-CA" w:eastAsia="en-US"/>
              </w:rPr>
              <w:t xml:space="preserve">of </w:t>
            </w:r>
            <w:r w:rsidRPr="00692648">
              <w:rPr>
                <w:rFonts w:eastAsiaTheme="minorHAnsi"/>
                <w:sz w:val="22"/>
                <w:szCs w:val="22"/>
                <w:lang w:val="en-CA" w:eastAsia="en-US"/>
              </w:rPr>
              <w:t>health care services and supports.</w:t>
            </w:r>
            <w:r w:rsidRPr="00692648">
              <w:rPr>
                <w:rFonts w:eastAsiaTheme="minorHAnsi"/>
                <w:sz w:val="22"/>
                <w:szCs w:val="22"/>
                <w:vertAlign w:val="superscript"/>
                <w:lang w:val="en-CA" w:eastAsia="en-US"/>
              </w:rPr>
              <w:footnoteReference w:id="3"/>
            </w:r>
          </w:p>
        </w:tc>
        <w:tc>
          <w:tcPr>
            <w:tcW w:w="404" w:type="pct"/>
          </w:tcPr>
          <w:p w14:paraId="782A556B" w14:textId="77777777" w:rsidR="00692648" w:rsidRPr="00692648" w:rsidRDefault="00692648" w:rsidP="00692648">
            <w:pPr>
              <w:jc w:val="center"/>
              <w:rPr>
                <w:rFonts w:eastAsiaTheme="minorHAnsi"/>
                <w:sz w:val="22"/>
                <w:szCs w:val="22"/>
                <w:lang w:val="en-CA" w:eastAsia="en-US"/>
              </w:rPr>
            </w:pPr>
          </w:p>
        </w:tc>
        <w:tc>
          <w:tcPr>
            <w:tcW w:w="404" w:type="pct"/>
          </w:tcPr>
          <w:p w14:paraId="0B1BDAB7" w14:textId="77777777" w:rsidR="00692648" w:rsidRPr="00692648" w:rsidRDefault="00692648" w:rsidP="00692648">
            <w:pPr>
              <w:jc w:val="center"/>
              <w:rPr>
                <w:rFonts w:eastAsiaTheme="minorHAnsi"/>
                <w:sz w:val="22"/>
                <w:szCs w:val="22"/>
                <w:lang w:val="en-CA" w:eastAsia="en-US"/>
              </w:rPr>
            </w:pPr>
          </w:p>
        </w:tc>
        <w:tc>
          <w:tcPr>
            <w:tcW w:w="404" w:type="pct"/>
          </w:tcPr>
          <w:p w14:paraId="46A2673C" w14:textId="77777777" w:rsidR="00692648" w:rsidRPr="00692648" w:rsidRDefault="00692648" w:rsidP="00692648">
            <w:pPr>
              <w:jc w:val="center"/>
              <w:rPr>
                <w:rFonts w:eastAsiaTheme="minorHAnsi"/>
                <w:sz w:val="22"/>
                <w:szCs w:val="22"/>
                <w:lang w:val="en-CA" w:eastAsia="en-US"/>
              </w:rPr>
            </w:pPr>
          </w:p>
        </w:tc>
        <w:tc>
          <w:tcPr>
            <w:tcW w:w="404" w:type="pct"/>
          </w:tcPr>
          <w:p w14:paraId="5F5F50F2" w14:textId="77777777" w:rsidR="00692648" w:rsidRPr="00692648" w:rsidRDefault="00692648" w:rsidP="00692648">
            <w:pPr>
              <w:jc w:val="center"/>
              <w:rPr>
                <w:rFonts w:eastAsiaTheme="minorHAnsi"/>
                <w:sz w:val="22"/>
                <w:szCs w:val="22"/>
                <w:lang w:val="en-CA" w:eastAsia="en-US"/>
              </w:rPr>
            </w:pPr>
          </w:p>
        </w:tc>
        <w:tc>
          <w:tcPr>
            <w:tcW w:w="404" w:type="pct"/>
          </w:tcPr>
          <w:p w14:paraId="66B1402F" w14:textId="77777777" w:rsidR="00692648" w:rsidRPr="00692648" w:rsidRDefault="00692648" w:rsidP="00692648">
            <w:pPr>
              <w:jc w:val="center"/>
              <w:rPr>
                <w:rFonts w:eastAsiaTheme="minorHAnsi"/>
                <w:sz w:val="22"/>
                <w:szCs w:val="22"/>
                <w:lang w:val="en-CA" w:eastAsia="en-US"/>
              </w:rPr>
            </w:pPr>
          </w:p>
        </w:tc>
        <w:tc>
          <w:tcPr>
            <w:tcW w:w="1056" w:type="pct"/>
          </w:tcPr>
          <w:p w14:paraId="38F836F9" w14:textId="77777777" w:rsidR="00692648" w:rsidRPr="00692648" w:rsidRDefault="00692648" w:rsidP="00692648">
            <w:pPr>
              <w:rPr>
                <w:rFonts w:eastAsiaTheme="minorHAnsi"/>
                <w:sz w:val="22"/>
                <w:szCs w:val="22"/>
                <w:lang w:val="en-CA" w:eastAsia="en-US"/>
              </w:rPr>
            </w:pPr>
          </w:p>
        </w:tc>
      </w:tr>
      <w:tr w:rsidR="00D66E65" w:rsidRPr="00692648" w14:paraId="6453F7B2" w14:textId="77777777" w:rsidTr="00F91FBB">
        <w:tc>
          <w:tcPr>
            <w:tcW w:w="144" w:type="pct"/>
          </w:tcPr>
          <w:p w14:paraId="30C9FA40" w14:textId="77777777" w:rsidR="00692648" w:rsidRPr="00692648" w:rsidRDefault="00692648" w:rsidP="00692648">
            <w:pPr>
              <w:rPr>
                <w:rFonts w:eastAsiaTheme="minorHAnsi"/>
                <w:sz w:val="20"/>
                <w:szCs w:val="20"/>
                <w:lang w:val="en-CA" w:eastAsia="en-US"/>
              </w:rPr>
            </w:pPr>
            <w:r w:rsidRPr="00692648">
              <w:rPr>
                <w:rFonts w:eastAsiaTheme="minorHAnsi"/>
                <w:sz w:val="20"/>
                <w:szCs w:val="20"/>
                <w:lang w:val="en-CA" w:eastAsia="en-US"/>
              </w:rPr>
              <w:t>2</w:t>
            </w:r>
          </w:p>
        </w:tc>
        <w:tc>
          <w:tcPr>
            <w:tcW w:w="1781" w:type="pct"/>
          </w:tcPr>
          <w:p w14:paraId="4F924509" w14:textId="05327C59"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The resource acknowledges the history of racism</w:t>
            </w:r>
            <w:r w:rsidR="00E707BF">
              <w:rPr>
                <w:rFonts w:eastAsiaTheme="minorHAnsi"/>
                <w:sz w:val="22"/>
                <w:szCs w:val="22"/>
                <w:lang w:val="en-CA" w:eastAsia="en-US"/>
              </w:rPr>
              <w:t xml:space="preserve"> and</w:t>
            </w:r>
            <w:r w:rsidRPr="00692648">
              <w:rPr>
                <w:rFonts w:eastAsiaTheme="minorHAnsi"/>
                <w:sz w:val="22"/>
                <w:szCs w:val="22"/>
                <w:lang w:val="en-CA" w:eastAsia="en-US"/>
              </w:rPr>
              <w:t xml:space="preserve"> white supremacy as context for oppression and marginalization experienced today by Black and racialized communities. </w:t>
            </w:r>
          </w:p>
        </w:tc>
        <w:tc>
          <w:tcPr>
            <w:tcW w:w="404" w:type="pct"/>
          </w:tcPr>
          <w:p w14:paraId="396F57AA" w14:textId="77777777" w:rsidR="00692648" w:rsidRPr="00692648" w:rsidRDefault="00692648" w:rsidP="00692648">
            <w:pPr>
              <w:jc w:val="center"/>
              <w:rPr>
                <w:rFonts w:eastAsiaTheme="minorHAnsi"/>
                <w:sz w:val="22"/>
                <w:szCs w:val="22"/>
                <w:lang w:val="en-CA" w:eastAsia="en-US"/>
              </w:rPr>
            </w:pPr>
          </w:p>
        </w:tc>
        <w:tc>
          <w:tcPr>
            <w:tcW w:w="404" w:type="pct"/>
          </w:tcPr>
          <w:p w14:paraId="7F82F616" w14:textId="77777777" w:rsidR="00692648" w:rsidRPr="00692648" w:rsidRDefault="00692648" w:rsidP="00692648">
            <w:pPr>
              <w:jc w:val="center"/>
              <w:rPr>
                <w:rFonts w:eastAsiaTheme="minorHAnsi"/>
                <w:sz w:val="22"/>
                <w:szCs w:val="22"/>
                <w:lang w:val="en-CA" w:eastAsia="en-US"/>
              </w:rPr>
            </w:pPr>
          </w:p>
        </w:tc>
        <w:tc>
          <w:tcPr>
            <w:tcW w:w="404" w:type="pct"/>
          </w:tcPr>
          <w:p w14:paraId="5E27A852" w14:textId="77777777" w:rsidR="00692648" w:rsidRPr="00692648" w:rsidRDefault="00692648" w:rsidP="00692648">
            <w:pPr>
              <w:jc w:val="center"/>
              <w:rPr>
                <w:rFonts w:eastAsiaTheme="minorHAnsi"/>
                <w:sz w:val="22"/>
                <w:szCs w:val="22"/>
                <w:lang w:val="en-CA" w:eastAsia="en-US"/>
              </w:rPr>
            </w:pPr>
          </w:p>
        </w:tc>
        <w:tc>
          <w:tcPr>
            <w:tcW w:w="404" w:type="pct"/>
          </w:tcPr>
          <w:p w14:paraId="32713538" w14:textId="77777777" w:rsidR="00692648" w:rsidRPr="00692648" w:rsidRDefault="00692648" w:rsidP="00692648">
            <w:pPr>
              <w:jc w:val="center"/>
              <w:rPr>
                <w:rFonts w:eastAsiaTheme="minorHAnsi"/>
                <w:sz w:val="22"/>
                <w:szCs w:val="22"/>
                <w:lang w:val="en-CA" w:eastAsia="en-US"/>
              </w:rPr>
            </w:pPr>
          </w:p>
        </w:tc>
        <w:tc>
          <w:tcPr>
            <w:tcW w:w="404" w:type="pct"/>
          </w:tcPr>
          <w:p w14:paraId="3C13809B" w14:textId="77777777" w:rsidR="00692648" w:rsidRPr="00692648" w:rsidRDefault="00692648" w:rsidP="00692648">
            <w:pPr>
              <w:jc w:val="center"/>
              <w:rPr>
                <w:rFonts w:eastAsiaTheme="minorHAnsi"/>
                <w:sz w:val="22"/>
                <w:szCs w:val="22"/>
                <w:lang w:val="en-CA" w:eastAsia="en-US"/>
              </w:rPr>
            </w:pPr>
          </w:p>
        </w:tc>
        <w:tc>
          <w:tcPr>
            <w:tcW w:w="1056" w:type="pct"/>
          </w:tcPr>
          <w:p w14:paraId="53399D4A" w14:textId="77777777" w:rsidR="00692648" w:rsidRPr="00692648" w:rsidRDefault="00692648" w:rsidP="00692648">
            <w:pPr>
              <w:rPr>
                <w:rFonts w:eastAsiaTheme="minorHAnsi"/>
                <w:sz w:val="22"/>
                <w:szCs w:val="22"/>
                <w:lang w:val="en-CA" w:eastAsia="en-US"/>
              </w:rPr>
            </w:pPr>
          </w:p>
        </w:tc>
      </w:tr>
      <w:tr w:rsidR="00D66E65" w:rsidRPr="00692648" w14:paraId="52765EF4" w14:textId="77777777" w:rsidTr="00F91FBB">
        <w:tc>
          <w:tcPr>
            <w:tcW w:w="144" w:type="pct"/>
          </w:tcPr>
          <w:p w14:paraId="04526360" w14:textId="77777777" w:rsidR="00692648" w:rsidRPr="00692648" w:rsidRDefault="00692648" w:rsidP="00692648">
            <w:pPr>
              <w:rPr>
                <w:rFonts w:eastAsiaTheme="minorHAnsi"/>
                <w:sz w:val="20"/>
                <w:szCs w:val="20"/>
                <w:lang w:val="en-CA" w:eastAsia="en-US"/>
              </w:rPr>
            </w:pPr>
            <w:r w:rsidRPr="00692648">
              <w:rPr>
                <w:rFonts w:eastAsiaTheme="minorHAnsi"/>
                <w:sz w:val="20"/>
                <w:szCs w:val="20"/>
                <w:lang w:val="en-CA" w:eastAsia="en-US"/>
              </w:rPr>
              <w:t>3</w:t>
            </w:r>
          </w:p>
        </w:tc>
        <w:tc>
          <w:tcPr>
            <w:tcW w:w="1781" w:type="pct"/>
          </w:tcPr>
          <w:p w14:paraId="67BB0914" w14:textId="7871C67F"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 xml:space="preserve">The resource acknowledges the history of racism, white supremacy, and colonization as context for oppression and marginalization experienced today by Indigenous </w:t>
            </w:r>
            <w:r w:rsidR="00E06353">
              <w:rPr>
                <w:rFonts w:eastAsiaTheme="minorHAnsi"/>
                <w:sz w:val="22"/>
                <w:szCs w:val="22"/>
                <w:lang w:val="en-CA" w:eastAsia="en-US"/>
              </w:rPr>
              <w:t xml:space="preserve">people and/or </w:t>
            </w:r>
            <w:r w:rsidRPr="00692648">
              <w:rPr>
                <w:rFonts w:eastAsiaTheme="minorHAnsi"/>
                <w:sz w:val="22"/>
                <w:szCs w:val="22"/>
                <w:lang w:val="en-CA" w:eastAsia="en-US"/>
              </w:rPr>
              <w:t>communities.</w:t>
            </w:r>
          </w:p>
        </w:tc>
        <w:tc>
          <w:tcPr>
            <w:tcW w:w="404" w:type="pct"/>
          </w:tcPr>
          <w:p w14:paraId="0D582EBE" w14:textId="77777777" w:rsidR="00692648" w:rsidRPr="00692648" w:rsidRDefault="00692648" w:rsidP="00692648">
            <w:pPr>
              <w:jc w:val="center"/>
              <w:rPr>
                <w:rFonts w:eastAsiaTheme="minorHAnsi"/>
                <w:sz w:val="22"/>
                <w:szCs w:val="22"/>
                <w:lang w:val="en-CA" w:eastAsia="en-US"/>
              </w:rPr>
            </w:pPr>
          </w:p>
        </w:tc>
        <w:tc>
          <w:tcPr>
            <w:tcW w:w="404" w:type="pct"/>
          </w:tcPr>
          <w:p w14:paraId="0B05E6C6" w14:textId="77777777" w:rsidR="00692648" w:rsidRPr="00692648" w:rsidRDefault="00692648" w:rsidP="00692648">
            <w:pPr>
              <w:jc w:val="center"/>
              <w:rPr>
                <w:rFonts w:eastAsiaTheme="minorHAnsi"/>
                <w:sz w:val="22"/>
                <w:szCs w:val="22"/>
                <w:lang w:val="en-CA" w:eastAsia="en-US"/>
              </w:rPr>
            </w:pPr>
          </w:p>
        </w:tc>
        <w:tc>
          <w:tcPr>
            <w:tcW w:w="404" w:type="pct"/>
          </w:tcPr>
          <w:p w14:paraId="7C72F2CC" w14:textId="77777777" w:rsidR="00692648" w:rsidRPr="00692648" w:rsidRDefault="00692648" w:rsidP="00692648">
            <w:pPr>
              <w:jc w:val="center"/>
              <w:rPr>
                <w:rFonts w:eastAsiaTheme="minorHAnsi"/>
                <w:sz w:val="22"/>
                <w:szCs w:val="22"/>
                <w:lang w:val="en-CA" w:eastAsia="en-US"/>
              </w:rPr>
            </w:pPr>
          </w:p>
        </w:tc>
        <w:tc>
          <w:tcPr>
            <w:tcW w:w="404" w:type="pct"/>
          </w:tcPr>
          <w:p w14:paraId="60D97724" w14:textId="77777777" w:rsidR="00692648" w:rsidRPr="00692648" w:rsidRDefault="00692648" w:rsidP="00692648">
            <w:pPr>
              <w:jc w:val="center"/>
              <w:rPr>
                <w:rFonts w:eastAsiaTheme="minorHAnsi"/>
                <w:sz w:val="22"/>
                <w:szCs w:val="22"/>
                <w:lang w:val="en-CA" w:eastAsia="en-US"/>
              </w:rPr>
            </w:pPr>
          </w:p>
        </w:tc>
        <w:tc>
          <w:tcPr>
            <w:tcW w:w="404" w:type="pct"/>
          </w:tcPr>
          <w:p w14:paraId="11BC83D0" w14:textId="77777777" w:rsidR="00692648" w:rsidRPr="00692648" w:rsidRDefault="00692648" w:rsidP="00692648">
            <w:pPr>
              <w:jc w:val="center"/>
              <w:rPr>
                <w:rFonts w:eastAsiaTheme="minorHAnsi"/>
                <w:sz w:val="22"/>
                <w:szCs w:val="22"/>
                <w:lang w:val="en-CA" w:eastAsia="en-US"/>
              </w:rPr>
            </w:pPr>
          </w:p>
        </w:tc>
        <w:tc>
          <w:tcPr>
            <w:tcW w:w="1056" w:type="pct"/>
          </w:tcPr>
          <w:p w14:paraId="08196CFA" w14:textId="77777777" w:rsidR="00692648" w:rsidRPr="00692648" w:rsidRDefault="00692648" w:rsidP="00692648">
            <w:pPr>
              <w:rPr>
                <w:rFonts w:eastAsiaTheme="minorHAnsi"/>
                <w:sz w:val="22"/>
                <w:szCs w:val="22"/>
                <w:lang w:val="en-CA" w:eastAsia="en-US"/>
              </w:rPr>
            </w:pPr>
          </w:p>
        </w:tc>
      </w:tr>
      <w:tr w:rsidR="00D66E65" w:rsidRPr="00692648" w14:paraId="0ECB2133" w14:textId="77777777" w:rsidTr="00F91FBB">
        <w:tc>
          <w:tcPr>
            <w:tcW w:w="144" w:type="pct"/>
          </w:tcPr>
          <w:p w14:paraId="22258FF5" w14:textId="77777777" w:rsidR="00692648" w:rsidRPr="00692648" w:rsidRDefault="00692648" w:rsidP="00692648">
            <w:pPr>
              <w:rPr>
                <w:rFonts w:eastAsiaTheme="minorHAnsi"/>
                <w:sz w:val="20"/>
                <w:szCs w:val="20"/>
                <w:lang w:val="en-CA" w:eastAsia="en-US"/>
              </w:rPr>
            </w:pPr>
            <w:r w:rsidRPr="00692648">
              <w:rPr>
                <w:rFonts w:eastAsiaTheme="minorHAnsi"/>
                <w:sz w:val="20"/>
                <w:szCs w:val="20"/>
                <w:lang w:val="en-CA" w:eastAsia="en-US"/>
              </w:rPr>
              <w:t>4</w:t>
            </w:r>
          </w:p>
        </w:tc>
        <w:tc>
          <w:tcPr>
            <w:tcW w:w="1781" w:type="pct"/>
          </w:tcPr>
          <w:p w14:paraId="16107143" w14:textId="5109AE6E"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 xml:space="preserve">The resource acknowledges how privilege based on race offers more/better access and experiences </w:t>
            </w:r>
            <w:r w:rsidR="00E707BF">
              <w:rPr>
                <w:rFonts w:eastAsiaTheme="minorHAnsi"/>
                <w:sz w:val="22"/>
                <w:szCs w:val="22"/>
                <w:lang w:val="en-CA" w:eastAsia="en-US"/>
              </w:rPr>
              <w:t>as a staff person, volunteer or service user</w:t>
            </w:r>
            <w:r w:rsidRPr="00692648">
              <w:rPr>
                <w:rFonts w:eastAsiaTheme="minorHAnsi"/>
                <w:sz w:val="22"/>
                <w:szCs w:val="22"/>
                <w:lang w:val="en-CA" w:eastAsia="en-US"/>
              </w:rPr>
              <w:t xml:space="preserve"> in the HIV sector. </w:t>
            </w:r>
          </w:p>
        </w:tc>
        <w:tc>
          <w:tcPr>
            <w:tcW w:w="404" w:type="pct"/>
          </w:tcPr>
          <w:p w14:paraId="0FD5E737" w14:textId="77777777" w:rsidR="00692648" w:rsidRPr="00692648" w:rsidRDefault="00692648" w:rsidP="00692648">
            <w:pPr>
              <w:jc w:val="center"/>
              <w:rPr>
                <w:rFonts w:eastAsiaTheme="minorHAnsi"/>
                <w:sz w:val="22"/>
                <w:szCs w:val="22"/>
                <w:lang w:val="en-CA" w:eastAsia="en-US"/>
              </w:rPr>
            </w:pPr>
          </w:p>
        </w:tc>
        <w:tc>
          <w:tcPr>
            <w:tcW w:w="404" w:type="pct"/>
          </w:tcPr>
          <w:p w14:paraId="1C13F496" w14:textId="77777777" w:rsidR="00692648" w:rsidRPr="00692648" w:rsidRDefault="00692648" w:rsidP="00692648">
            <w:pPr>
              <w:jc w:val="center"/>
              <w:rPr>
                <w:rFonts w:eastAsiaTheme="minorHAnsi"/>
                <w:sz w:val="22"/>
                <w:szCs w:val="22"/>
                <w:lang w:val="en-CA" w:eastAsia="en-US"/>
              </w:rPr>
            </w:pPr>
          </w:p>
        </w:tc>
        <w:tc>
          <w:tcPr>
            <w:tcW w:w="404" w:type="pct"/>
          </w:tcPr>
          <w:p w14:paraId="449ADC88" w14:textId="77777777" w:rsidR="00692648" w:rsidRPr="00692648" w:rsidRDefault="00692648" w:rsidP="00692648">
            <w:pPr>
              <w:jc w:val="center"/>
              <w:rPr>
                <w:rFonts w:eastAsiaTheme="minorHAnsi"/>
                <w:sz w:val="22"/>
                <w:szCs w:val="22"/>
                <w:lang w:val="en-CA" w:eastAsia="en-US"/>
              </w:rPr>
            </w:pPr>
          </w:p>
        </w:tc>
        <w:tc>
          <w:tcPr>
            <w:tcW w:w="404" w:type="pct"/>
          </w:tcPr>
          <w:p w14:paraId="040B3689" w14:textId="77777777" w:rsidR="00692648" w:rsidRPr="00692648" w:rsidRDefault="00692648" w:rsidP="00692648">
            <w:pPr>
              <w:jc w:val="center"/>
              <w:rPr>
                <w:rFonts w:eastAsiaTheme="minorHAnsi"/>
                <w:sz w:val="22"/>
                <w:szCs w:val="22"/>
                <w:lang w:val="en-CA" w:eastAsia="en-US"/>
              </w:rPr>
            </w:pPr>
          </w:p>
        </w:tc>
        <w:tc>
          <w:tcPr>
            <w:tcW w:w="404" w:type="pct"/>
          </w:tcPr>
          <w:p w14:paraId="3D37D32D" w14:textId="77777777" w:rsidR="00692648" w:rsidRPr="00692648" w:rsidRDefault="00692648" w:rsidP="00692648">
            <w:pPr>
              <w:jc w:val="center"/>
              <w:rPr>
                <w:rFonts w:eastAsiaTheme="minorHAnsi"/>
                <w:sz w:val="22"/>
                <w:szCs w:val="22"/>
                <w:lang w:val="en-CA" w:eastAsia="en-US"/>
              </w:rPr>
            </w:pPr>
          </w:p>
        </w:tc>
        <w:tc>
          <w:tcPr>
            <w:tcW w:w="1056" w:type="pct"/>
          </w:tcPr>
          <w:p w14:paraId="21AD4209" w14:textId="77777777" w:rsidR="00692648" w:rsidRPr="00692648" w:rsidRDefault="00692648" w:rsidP="00692648">
            <w:pPr>
              <w:rPr>
                <w:rFonts w:eastAsiaTheme="minorHAnsi"/>
                <w:sz w:val="22"/>
                <w:szCs w:val="22"/>
                <w:lang w:val="en-CA" w:eastAsia="en-US"/>
              </w:rPr>
            </w:pPr>
          </w:p>
        </w:tc>
      </w:tr>
      <w:tr w:rsidR="00D66E65" w:rsidRPr="00692648" w14:paraId="45CEDBA1" w14:textId="77777777" w:rsidTr="00F91FBB">
        <w:tc>
          <w:tcPr>
            <w:tcW w:w="144" w:type="pct"/>
          </w:tcPr>
          <w:p w14:paraId="21C55169"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5</w:t>
            </w:r>
          </w:p>
        </w:tc>
        <w:tc>
          <w:tcPr>
            <w:tcW w:w="1781" w:type="pct"/>
          </w:tcPr>
          <w:p w14:paraId="29D0DF3F" w14:textId="77777777"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 xml:space="preserve">The resource incorporates anti-racist language/terminology, e.g., using “racialized” or “Black, Indigenous and People of Colour (BIPOC)” instead of </w:t>
            </w:r>
            <w:r w:rsidRPr="00692648">
              <w:rPr>
                <w:rFonts w:eastAsiaTheme="minorHAnsi"/>
                <w:sz w:val="22"/>
                <w:szCs w:val="22"/>
                <w:lang w:val="en-CA" w:eastAsia="en-US"/>
              </w:rPr>
              <w:lastRenderedPageBreak/>
              <w:t>“visible minority” and capitalizing the terms Black and Indigenous.</w:t>
            </w:r>
          </w:p>
        </w:tc>
        <w:tc>
          <w:tcPr>
            <w:tcW w:w="404" w:type="pct"/>
          </w:tcPr>
          <w:p w14:paraId="4D112CE8" w14:textId="77777777" w:rsidR="00692648" w:rsidRPr="00692648" w:rsidRDefault="00692648" w:rsidP="00692648">
            <w:pPr>
              <w:jc w:val="center"/>
              <w:rPr>
                <w:rFonts w:eastAsiaTheme="minorHAnsi"/>
                <w:sz w:val="22"/>
                <w:szCs w:val="22"/>
                <w:lang w:val="en-CA" w:eastAsia="en-US"/>
              </w:rPr>
            </w:pPr>
          </w:p>
        </w:tc>
        <w:tc>
          <w:tcPr>
            <w:tcW w:w="404" w:type="pct"/>
          </w:tcPr>
          <w:p w14:paraId="26F4A2E4" w14:textId="77777777" w:rsidR="00692648" w:rsidRPr="00692648" w:rsidRDefault="00692648" w:rsidP="00692648">
            <w:pPr>
              <w:jc w:val="center"/>
              <w:rPr>
                <w:rFonts w:eastAsiaTheme="minorHAnsi"/>
                <w:sz w:val="22"/>
                <w:szCs w:val="22"/>
                <w:lang w:val="en-CA" w:eastAsia="en-US"/>
              </w:rPr>
            </w:pPr>
          </w:p>
        </w:tc>
        <w:tc>
          <w:tcPr>
            <w:tcW w:w="404" w:type="pct"/>
          </w:tcPr>
          <w:p w14:paraId="1219B9CE" w14:textId="77777777" w:rsidR="00692648" w:rsidRPr="00692648" w:rsidRDefault="00692648" w:rsidP="00692648">
            <w:pPr>
              <w:jc w:val="center"/>
              <w:rPr>
                <w:rFonts w:eastAsiaTheme="minorHAnsi"/>
                <w:sz w:val="22"/>
                <w:szCs w:val="22"/>
                <w:lang w:val="en-CA" w:eastAsia="en-US"/>
              </w:rPr>
            </w:pPr>
          </w:p>
        </w:tc>
        <w:tc>
          <w:tcPr>
            <w:tcW w:w="404" w:type="pct"/>
          </w:tcPr>
          <w:p w14:paraId="7FF9D76B" w14:textId="77777777" w:rsidR="00692648" w:rsidRPr="00692648" w:rsidRDefault="00692648" w:rsidP="00692648">
            <w:pPr>
              <w:jc w:val="center"/>
              <w:rPr>
                <w:rFonts w:eastAsiaTheme="minorHAnsi"/>
                <w:sz w:val="22"/>
                <w:szCs w:val="22"/>
                <w:lang w:val="en-CA" w:eastAsia="en-US"/>
              </w:rPr>
            </w:pPr>
          </w:p>
        </w:tc>
        <w:tc>
          <w:tcPr>
            <w:tcW w:w="404" w:type="pct"/>
          </w:tcPr>
          <w:p w14:paraId="2ECA1DEE" w14:textId="77777777" w:rsidR="00692648" w:rsidRPr="00692648" w:rsidRDefault="00692648" w:rsidP="00692648">
            <w:pPr>
              <w:jc w:val="center"/>
              <w:rPr>
                <w:rFonts w:eastAsiaTheme="minorHAnsi"/>
                <w:sz w:val="22"/>
                <w:szCs w:val="22"/>
                <w:lang w:val="en-CA" w:eastAsia="en-US"/>
              </w:rPr>
            </w:pPr>
          </w:p>
        </w:tc>
        <w:tc>
          <w:tcPr>
            <w:tcW w:w="1056" w:type="pct"/>
          </w:tcPr>
          <w:p w14:paraId="1AEB0942" w14:textId="77777777" w:rsidR="00692648" w:rsidRPr="00692648" w:rsidRDefault="00692648" w:rsidP="00692648">
            <w:pPr>
              <w:rPr>
                <w:rFonts w:eastAsiaTheme="minorHAnsi"/>
                <w:sz w:val="22"/>
                <w:szCs w:val="22"/>
                <w:lang w:val="en-CA" w:eastAsia="en-US"/>
              </w:rPr>
            </w:pPr>
          </w:p>
        </w:tc>
      </w:tr>
      <w:tr w:rsidR="00D66E65" w:rsidRPr="00692648" w14:paraId="308F1017" w14:textId="77777777" w:rsidTr="00F91FBB">
        <w:tc>
          <w:tcPr>
            <w:tcW w:w="144" w:type="pct"/>
          </w:tcPr>
          <w:p w14:paraId="2BCC813D"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6</w:t>
            </w:r>
          </w:p>
        </w:tc>
        <w:tc>
          <w:tcPr>
            <w:tcW w:w="1781" w:type="pct"/>
          </w:tcPr>
          <w:p w14:paraId="5F86BB27" w14:textId="56ABF7C8"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 xml:space="preserve">The resource distinguishes Indigenous people from people who are "racialized" to recognize that the term “racialized” does not appropriately account for Canada’s specific history and context of systemic racism against Indigenous </w:t>
            </w:r>
            <w:r w:rsidR="00E06353">
              <w:rPr>
                <w:rFonts w:eastAsiaTheme="minorHAnsi"/>
                <w:sz w:val="22"/>
                <w:szCs w:val="22"/>
                <w:lang w:val="en-CA" w:eastAsia="en-US"/>
              </w:rPr>
              <w:t xml:space="preserve">people and/or </w:t>
            </w:r>
            <w:r w:rsidRPr="00692648">
              <w:rPr>
                <w:rFonts w:eastAsiaTheme="minorHAnsi"/>
                <w:sz w:val="22"/>
                <w:szCs w:val="22"/>
                <w:lang w:val="en-CA" w:eastAsia="en-US"/>
              </w:rPr>
              <w:t>communities.</w:t>
            </w:r>
          </w:p>
        </w:tc>
        <w:tc>
          <w:tcPr>
            <w:tcW w:w="404" w:type="pct"/>
          </w:tcPr>
          <w:p w14:paraId="4EC6B7A2" w14:textId="77777777" w:rsidR="00692648" w:rsidRPr="00692648" w:rsidRDefault="00692648" w:rsidP="00692648">
            <w:pPr>
              <w:jc w:val="center"/>
              <w:rPr>
                <w:rFonts w:eastAsiaTheme="minorHAnsi"/>
                <w:sz w:val="22"/>
                <w:szCs w:val="22"/>
                <w:lang w:val="en-CA" w:eastAsia="en-US"/>
              </w:rPr>
            </w:pPr>
          </w:p>
        </w:tc>
        <w:tc>
          <w:tcPr>
            <w:tcW w:w="404" w:type="pct"/>
          </w:tcPr>
          <w:p w14:paraId="387FB458" w14:textId="77777777" w:rsidR="00692648" w:rsidRPr="00692648" w:rsidRDefault="00692648" w:rsidP="00692648">
            <w:pPr>
              <w:jc w:val="center"/>
              <w:rPr>
                <w:rFonts w:eastAsiaTheme="minorHAnsi"/>
                <w:sz w:val="22"/>
                <w:szCs w:val="22"/>
                <w:lang w:val="en-CA" w:eastAsia="en-US"/>
              </w:rPr>
            </w:pPr>
          </w:p>
        </w:tc>
        <w:tc>
          <w:tcPr>
            <w:tcW w:w="404" w:type="pct"/>
          </w:tcPr>
          <w:p w14:paraId="16365C6D" w14:textId="77777777" w:rsidR="00692648" w:rsidRPr="00692648" w:rsidRDefault="00692648" w:rsidP="00692648">
            <w:pPr>
              <w:jc w:val="center"/>
              <w:rPr>
                <w:rFonts w:eastAsiaTheme="minorHAnsi"/>
                <w:sz w:val="22"/>
                <w:szCs w:val="22"/>
                <w:lang w:val="en-CA" w:eastAsia="en-US"/>
              </w:rPr>
            </w:pPr>
          </w:p>
        </w:tc>
        <w:tc>
          <w:tcPr>
            <w:tcW w:w="404" w:type="pct"/>
          </w:tcPr>
          <w:p w14:paraId="3E848DE0" w14:textId="77777777" w:rsidR="00692648" w:rsidRPr="00692648" w:rsidRDefault="00692648" w:rsidP="00692648">
            <w:pPr>
              <w:jc w:val="center"/>
              <w:rPr>
                <w:rFonts w:eastAsiaTheme="minorHAnsi"/>
                <w:sz w:val="22"/>
                <w:szCs w:val="22"/>
                <w:lang w:val="en-CA" w:eastAsia="en-US"/>
              </w:rPr>
            </w:pPr>
          </w:p>
        </w:tc>
        <w:tc>
          <w:tcPr>
            <w:tcW w:w="404" w:type="pct"/>
          </w:tcPr>
          <w:p w14:paraId="7E43A0C4" w14:textId="77777777" w:rsidR="00692648" w:rsidRPr="00692648" w:rsidRDefault="00692648" w:rsidP="00692648">
            <w:pPr>
              <w:jc w:val="center"/>
              <w:rPr>
                <w:rFonts w:eastAsiaTheme="minorHAnsi"/>
                <w:sz w:val="22"/>
                <w:szCs w:val="22"/>
                <w:lang w:val="en-CA" w:eastAsia="en-US"/>
              </w:rPr>
            </w:pPr>
          </w:p>
        </w:tc>
        <w:tc>
          <w:tcPr>
            <w:tcW w:w="1056" w:type="pct"/>
          </w:tcPr>
          <w:p w14:paraId="037B699B" w14:textId="77777777" w:rsidR="00692648" w:rsidRPr="00692648" w:rsidRDefault="00692648" w:rsidP="00692648">
            <w:pPr>
              <w:rPr>
                <w:rFonts w:eastAsiaTheme="minorHAnsi"/>
                <w:sz w:val="22"/>
                <w:szCs w:val="22"/>
                <w:lang w:val="en-CA" w:eastAsia="en-US"/>
              </w:rPr>
            </w:pPr>
          </w:p>
        </w:tc>
      </w:tr>
      <w:tr w:rsidR="00D66E65" w:rsidRPr="00692648" w14:paraId="5B2BD12E" w14:textId="77777777" w:rsidTr="00F91FBB">
        <w:tc>
          <w:tcPr>
            <w:tcW w:w="144" w:type="pct"/>
          </w:tcPr>
          <w:p w14:paraId="7B68FF58"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7</w:t>
            </w:r>
          </w:p>
        </w:tc>
        <w:tc>
          <w:tcPr>
            <w:tcW w:w="1781" w:type="pct"/>
          </w:tcPr>
          <w:p w14:paraId="0618CDA1" w14:textId="244EFE8C"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 xml:space="preserve">The resource centres the voices of Indigenous, Black, and racialized </w:t>
            </w:r>
            <w:r w:rsidR="00E06353">
              <w:rPr>
                <w:rFonts w:eastAsiaTheme="minorHAnsi"/>
                <w:sz w:val="22"/>
                <w:szCs w:val="22"/>
                <w:lang w:val="en-CA" w:eastAsia="en-US"/>
              </w:rPr>
              <w:t xml:space="preserve">people and/or </w:t>
            </w:r>
            <w:r w:rsidRPr="00692648">
              <w:rPr>
                <w:rFonts w:eastAsiaTheme="minorHAnsi"/>
                <w:sz w:val="22"/>
                <w:szCs w:val="22"/>
                <w:lang w:val="en-CA" w:eastAsia="en-US"/>
              </w:rPr>
              <w:t>communities by using examples that reflect a diversity of experiences.</w:t>
            </w:r>
          </w:p>
        </w:tc>
        <w:tc>
          <w:tcPr>
            <w:tcW w:w="404" w:type="pct"/>
          </w:tcPr>
          <w:p w14:paraId="00955A4E" w14:textId="77777777" w:rsidR="00692648" w:rsidRPr="00692648" w:rsidRDefault="00692648" w:rsidP="00692648">
            <w:pPr>
              <w:jc w:val="center"/>
              <w:rPr>
                <w:rFonts w:eastAsiaTheme="minorHAnsi"/>
                <w:sz w:val="22"/>
                <w:szCs w:val="22"/>
                <w:lang w:val="en-CA" w:eastAsia="en-US"/>
              </w:rPr>
            </w:pPr>
          </w:p>
        </w:tc>
        <w:tc>
          <w:tcPr>
            <w:tcW w:w="404" w:type="pct"/>
          </w:tcPr>
          <w:p w14:paraId="7CB61A61" w14:textId="77777777" w:rsidR="00692648" w:rsidRPr="00692648" w:rsidRDefault="00692648" w:rsidP="00692648">
            <w:pPr>
              <w:jc w:val="center"/>
              <w:rPr>
                <w:rFonts w:eastAsiaTheme="minorHAnsi"/>
                <w:sz w:val="22"/>
                <w:szCs w:val="22"/>
                <w:lang w:val="en-CA" w:eastAsia="en-US"/>
              </w:rPr>
            </w:pPr>
          </w:p>
        </w:tc>
        <w:tc>
          <w:tcPr>
            <w:tcW w:w="404" w:type="pct"/>
          </w:tcPr>
          <w:p w14:paraId="711EF658" w14:textId="77777777" w:rsidR="00692648" w:rsidRPr="00692648" w:rsidRDefault="00692648" w:rsidP="00692648">
            <w:pPr>
              <w:jc w:val="center"/>
              <w:rPr>
                <w:rFonts w:eastAsiaTheme="minorHAnsi"/>
                <w:sz w:val="22"/>
                <w:szCs w:val="22"/>
                <w:lang w:val="en-CA" w:eastAsia="en-US"/>
              </w:rPr>
            </w:pPr>
          </w:p>
        </w:tc>
        <w:tc>
          <w:tcPr>
            <w:tcW w:w="404" w:type="pct"/>
          </w:tcPr>
          <w:p w14:paraId="4BDD8421" w14:textId="77777777" w:rsidR="00692648" w:rsidRPr="00692648" w:rsidRDefault="00692648" w:rsidP="00692648">
            <w:pPr>
              <w:jc w:val="center"/>
              <w:rPr>
                <w:rFonts w:eastAsiaTheme="minorHAnsi"/>
                <w:sz w:val="22"/>
                <w:szCs w:val="22"/>
                <w:lang w:val="en-CA" w:eastAsia="en-US"/>
              </w:rPr>
            </w:pPr>
          </w:p>
        </w:tc>
        <w:tc>
          <w:tcPr>
            <w:tcW w:w="404" w:type="pct"/>
          </w:tcPr>
          <w:p w14:paraId="0C22D110" w14:textId="77777777" w:rsidR="00692648" w:rsidRPr="00692648" w:rsidRDefault="00692648" w:rsidP="00692648">
            <w:pPr>
              <w:jc w:val="center"/>
              <w:rPr>
                <w:rFonts w:eastAsiaTheme="minorHAnsi"/>
                <w:sz w:val="22"/>
                <w:szCs w:val="22"/>
                <w:lang w:val="en-CA" w:eastAsia="en-US"/>
              </w:rPr>
            </w:pPr>
          </w:p>
        </w:tc>
        <w:tc>
          <w:tcPr>
            <w:tcW w:w="1056" w:type="pct"/>
          </w:tcPr>
          <w:p w14:paraId="2EBB1BF2" w14:textId="77777777" w:rsidR="00692648" w:rsidRPr="00692648" w:rsidRDefault="00692648" w:rsidP="00692648">
            <w:pPr>
              <w:rPr>
                <w:rFonts w:eastAsiaTheme="minorHAnsi"/>
                <w:sz w:val="22"/>
                <w:szCs w:val="22"/>
                <w:lang w:val="en-CA" w:eastAsia="en-US"/>
              </w:rPr>
            </w:pPr>
          </w:p>
        </w:tc>
      </w:tr>
      <w:tr w:rsidR="00D66E65" w:rsidRPr="00692648" w14:paraId="713897F6" w14:textId="77777777" w:rsidTr="00F91FBB">
        <w:tc>
          <w:tcPr>
            <w:tcW w:w="144" w:type="pct"/>
          </w:tcPr>
          <w:p w14:paraId="3B04A961"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8</w:t>
            </w:r>
          </w:p>
        </w:tc>
        <w:tc>
          <w:tcPr>
            <w:tcW w:w="1781" w:type="pct"/>
          </w:tcPr>
          <w:p w14:paraId="3CE2B5A5" w14:textId="7B758188"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The resource uses graphics, images</w:t>
            </w:r>
            <w:r w:rsidR="003946CB">
              <w:rPr>
                <w:rFonts w:eastAsiaTheme="minorHAnsi"/>
                <w:sz w:val="22"/>
                <w:szCs w:val="22"/>
                <w:lang w:val="en-CA" w:eastAsia="en-US"/>
              </w:rPr>
              <w:t xml:space="preserve"> and</w:t>
            </w:r>
            <w:r w:rsidRPr="00692648">
              <w:rPr>
                <w:rFonts w:eastAsiaTheme="minorHAnsi"/>
                <w:sz w:val="22"/>
                <w:szCs w:val="22"/>
                <w:lang w:val="en-CA" w:eastAsia="en-US"/>
              </w:rPr>
              <w:t xml:space="preserve"> symbols which </w:t>
            </w:r>
            <w:r w:rsidR="003946CB">
              <w:rPr>
                <w:rFonts w:eastAsiaTheme="minorHAnsi"/>
                <w:sz w:val="22"/>
                <w:szCs w:val="22"/>
                <w:lang w:val="en-CA" w:eastAsia="en-US"/>
              </w:rPr>
              <w:t xml:space="preserve">reflect a wide range of </w:t>
            </w:r>
            <w:r w:rsidRPr="00692648">
              <w:rPr>
                <w:rFonts w:eastAsiaTheme="minorHAnsi"/>
                <w:sz w:val="22"/>
                <w:szCs w:val="22"/>
                <w:lang w:val="en-CA" w:eastAsia="en-US"/>
              </w:rPr>
              <w:t>communities, and don’t simply reinforce whiteness as the norm</w:t>
            </w:r>
            <w:r w:rsidR="00F91FBB">
              <w:rPr>
                <w:rFonts w:eastAsiaTheme="minorHAnsi"/>
                <w:sz w:val="22"/>
                <w:szCs w:val="22"/>
                <w:lang w:val="en-CA" w:eastAsia="en-US"/>
              </w:rPr>
              <w:t>.</w:t>
            </w:r>
          </w:p>
        </w:tc>
        <w:tc>
          <w:tcPr>
            <w:tcW w:w="404" w:type="pct"/>
          </w:tcPr>
          <w:p w14:paraId="605F58C0" w14:textId="77777777" w:rsidR="00692648" w:rsidRPr="00692648" w:rsidRDefault="00692648" w:rsidP="00692648">
            <w:pPr>
              <w:jc w:val="center"/>
              <w:rPr>
                <w:rFonts w:eastAsiaTheme="minorHAnsi"/>
                <w:sz w:val="22"/>
                <w:szCs w:val="22"/>
                <w:lang w:val="en-CA" w:eastAsia="en-US"/>
              </w:rPr>
            </w:pPr>
          </w:p>
        </w:tc>
        <w:tc>
          <w:tcPr>
            <w:tcW w:w="404" w:type="pct"/>
          </w:tcPr>
          <w:p w14:paraId="44DCA779" w14:textId="77777777" w:rsidR="00692648" w:rsidRPr="00692648" w:rsidRDefault="00692648" w:rsidP="00692648">
            <w:pPr>
              <w:jc w:val="center"/>
              <w:rPr>
                <w:rFonts w:eastAsiaTheme="minorHAnsi"/>
                <w:sz w:val="22"/>
                <w:szCs w:val="22"/>
                <w:lang w:val="en-CA" w:eastAsia="en-US"/>
              </w:rPr>
            </w:pPr>
          </w:p>
        </w:tc>
        <w:tc>
          <w:tcPr>
            <w:tcW w:w="404" w:type="pct"/>
          </w:tcPr>
          <w:p w14:paraId="6011B21C" w14:textId="77777777" w:rsidR="00692648" w:rsidRPr="00692648" w:rsidRDefault="00692648" w:rsidP="00692648">
            <w:pPr>
              <w:jc w:val="center"/>
              <w:rPr>
                <w:rFonts w:eastAsiaTheme="minorHAnsi"/>
                <w:sz w:val="22"/>
                <w:szCs w:val="22"/>
                <w:lang w:val="en-CA" w:eastAsia="en-US"/>
              </w:rPr>
            </w:pPr>
          </w:p>
        </w:tc>
        <w:tc>
          <w:tcPr>
            <w:tcW w:w="404" w:type="pct"/>
          </w:tcPr>
          <w:p w14:paraId="21EABE41" w14:textId="77777777" w:rsidR="00692648" w:rsidRPr="00692648" w:rsidRDefault="00692648" w:rsidP="00692648">
            <w:pPr>
              <w:jc w:val="center"/>
              <w:rPr>
                <w:rFonts w:eastAsiaTheme="minorHAnsi"/>
                <w:sz w:val="22"/>
                <w:szCs w:val="22"/>
                <w:lang w:val="en-CA" w:eastAsia="en-US"/>
              </w:rPr>
            </w:pPr>
          </w:p>
        </w:tc>
        <w:tc>
          <w:tcPr>
            <w:tcW w:w="404" w:type="pct"/>
          </w:tcPr>
          <w:p w14:paraId="45919489" w14:textId="77777777" w:rsidR="00692648" w:rsidRPr="00692648" w:rsidRDefault="00692648" w:rsidP="00692648">
            <w:pPr>
              <w:jc w:val="center"/>
              <w:rPr>
                <w:rFonts w:eastAsiaTheme="minorHAnsi"/>
                <w:sz w:val="22"/>
                <w:szCs w:val="22"/>
                <w:lang w:val="en-CA" w:eastAsia="en-US"/>
              </w:rPr>
            </w:pPr>
          </w:p>
        </w:tc>
        <w:tc>
          <w:tcPr>
            <w:tcW w:w="1056" w:type="pct"/>
          </w:tcPr>
          <w:p w14:paraId="7CFC2C33" w14:textId="77777777" w:rsidR="00692648" w:rsidRPr="00692648" w:rsidRDefault="00692648" w:rsidP="00692648">
            <w:pPr>
              <w:rPr>
                <w:rFonts w:eastAsiaTheme="minorHAnsi"/>
                <w:sz w:val="22"/>
                <w:szCs w:val="22"/>
                <w:lang w:val="en-CA" w:eastAsia="en-US"/>
              </w:rPr>
            </w:pPr>
          </w:p>
        </w:tc>
      </w:tr>
      <w:tr w:rsidR="00D66E65" w:rsidRPr="00692648" w14:paraId="276D3017" w14:textId="77777777" w:rsidTr="00F91FBB">
        <w:tc>
          <w:tcPr>
            <w:tcW w:w="144" w:type="pct"/>
          </w:tcPr>
          <w:p w14:paraId="232AA6E3"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9</w:t>
            </w:r>
          </w:p>
        </w:tc>
        <w:tc>
          <w:tcPr>
            <w:tcW w:w="1781" w:type="pct"/>
          </w:tcPr>
          <w:p w14:paraId="190B359F" w14:textId="7FC75B9D" w:rsidR="00692648" w:rsidRPr="00692648" w:rsidRDefault="00692648" w:rsidP="00D66E65">
            <w:pPr>
              <w:rPr>
                <w:rFonts w:eastAsiaTheme="minorHAnsi" w:cstheme="minorHAnsi"/>
                <w:sz w:val="22"/>
                <w:szCs w:val="22"/>
                <w:lang w:val="en-CA" w:eastAsia="en-CA"/>
              </w:rPr>
            </w:pPr>
            <w:r w:rsidRPr="00692648">
              <w:rPr>
                <w:rFonts w:eastAsiaTheme="minorHAnsi" w:cstheme="minorHAnsi"/>
                <w:sz w:val="22"/>
                <w:szCs w:val="22"/>
                <w:lang w:val="en-CA" w:eastAsia="en-CA"/>
              </w:rPr>
              <w:t>T</w:t>
            </w:r>
            <w:r w:rsidRPr="00692648">
              <w:rPr>
                <w:rFonts w:ascii="Calibri" w:eastAsiaTheme="minorHAnsi" w:hAnsi="Calibri" w:cstheme="minorHAnsi"/>
                <w:sz w:val="22"/>
                <w:szCs w:val="22"/>
                <w:lang w:val="en-CA" w:eastAsia="en-CA"/>
              </w:rPr>
              <w:t>he</w:t>
            </w:r>
            <w:r w:rsidRPr="00692648">
              <w:rPr>
                <w:rFonts w:eastAsiaTheme="minorHAnsi" w:cstheme="minorHAnsi"/>
                <w:sz w:val="22"/>
                <w:szCs w:val="22"/>
                <w:lang w:val="en-CA" w:eastAsia="en-CA"/>
              </w:rPr>
              <w:t xml:space="preserve"> resource i</w:t>
            </w:r>
            <w:r w:rsidRPr="00692648">
              <w:rPr>
                <w:rFonts w:ascii="Calibri" w:eastAsiaTheme="minorHAnsi" w:hAnsi="Calibri" w:cstheme="minorHAnsi"/>
                <w:sz w:val="22"/>
                <w:szCs w:val="22"/>
                <w:lang w:val="en-CA" w:eastAsia="en-CA"/>
              </w:rPr>
              <w:t xml:space="preserve">dentifies </w:t>
            </w:r>
            <w:r w:rsidRPr="00692648">
              <w:rPr>
                <w:rFonts w:eastAsiaTheme="minorHAnsi" w:cstheme="minorHAnsi"/>
                <w:sz w:val="22"/>
                <w:szCs w:val="22"/>
                <w:lang w:val="en-CA" w:eastAsia="en-CA"/>
              </w:rPr>
              <w:t>intersectional identities and experiences in addition to race (</w:t>
            </w:r>
            <w:r w:rsidR="00D66E65">
              <w:rPr>
                <w:rFonts w:eastAsiaTheme="minorHAnsi" w:cstheme="minorHAnsi"/>
                <w:sz w:val="22"/>
                <w:szCs w:val="22"/>
                <w:lang w:val="en-CA" w:eastAsia="en-CA"/>
              </w:rPr>
              <w:t xml:space="preserve">e.g., </w:t>
            </w:r>
            <w:r w:rsidRPr="00692648">
              <w:rPr>
                <w:rFonts w:eastAsiaTheme="minorHAnsi" w:cstheme="minorHAnsi"/>
                <w:sz w:val="22"/>
                <w:szCs w:val="22"/>
                <w:lang w:val="en-CA" w:eastAsia="en-CA"/>
              </w:rPr>
              <w:t>disability, gender, gender identity, sexual orientation, immigration status).</w:t>
            </w:r>
            <w:r w:rsidRPr="00692648">
              <w:rPr>
                <w:rFonts w:eastAsiaTheme="minorHAnsi" w:cstheme="minorHAnsi"/>
                <w:sz w:val="22"/>
                <w:szCs w:val="22"/>
                <w:vertAlign w:val="superscript"/>
                <w:lang w:val="en-CA" w:eastAsia="en-CA"/>
              </w:rPr>
              <w:footnoteReference w:id="4"/>
            </w:r>
          </w:p>
        </w:tc>
        <w:tc>
          <w:tcPr>
            <w:tcW w:w="404" w:type="pct"/>
          </w:tcPr>
          <w:p w14:paraId="5E14CD08" w14:textId="77777777" w:rsidR="00692648" w:rsidRPr="00692648" w:rsidRDefault="00692648" w:rsidP="00692648">
            <w:pPr>
              <w:jc w:val="center"/>
              <w:rPr>
                <w:rFonts w:eastAsiaTheme="minorHAnsi"/>
                <w:sz w:val="22"/>
                <w:szCs w:val="22"/>
                <w:lang w:val="en-CA" w:eastAsia="en-US"/>
              </w:rPr>
            </w:pPr>
          </w:p>
        </w:tc>
        <w:tc>
          <w:tcPr>
            <w:tcW w:w="404" w:type="pct"/>
          </w:tcPr>
          <w:p w14:paraId="5F0A958E" w14:textId="77777777" w:rsidR="00692648" w:rsidRPr="00692648" w:rsidRDefault="00692648" w:rsidP="00692648">
            <w:pPr>
              <w:jc w:val="center"/>
              <w:rPr>
                <w:rFonts w:eastAsiaTheme="minorHAnsi"/>
                <w:sz w:val="22"/>
                <w:szCs w:val="22"/>
                <w:lang w:val="en-CA" w:eastAsia="en-US"/>
              </w:rPr>
            </w:pPr>
          </w:p>
        </w:tc>
        <w:tc>
          <w:tcPr>
            <w:tcW w:w="404" w:type="pct"/>
          </w:tcPr>
          <w:p w14:paraId="341846C6" w14:textId="77777777" w:rsidR="00692648" w:rsidRPr="00692648" w:rsidRDefault="00692648" w:rsidP="00692648">
            <w:pPr>
              <w:jc w:val="center"/>
              <w:rPr>
                <w:rFonts w:eastAsiaTheme="minorHAnsi"/>
                <w:sz w:val="22"/>
                <w:szCs w:val="22"/>
                <w:lang w:val="en-CA" w:eastAsia="en-US"/>
              </w:rPr>
            </w:pPr>
          </w:p>
        </w:tc>
        <w:tc>
          <w:tcPr>
            <w:tcW w:w="404" w:type="pct"/>
          </w:tcPr>
          <w:p w14:paraId="225FD9C5" w14:textId="77777777" w:rsidR="00692648" w:rsidRPr="00692648" w:rsidRDefault="00692648" w:rsidP="00692648">
            <w:pPr>
              <w:jc w:val="center"/>
              <w:rPr>
                <w:rFonts w:eastAsiaTheme="minorHAnsi"/>
                <w:sz w:val="22"/>
                <w:szCs w:val="22"/>
                <w:lang w:val="en-CA" w:eastAsia="en-US"/>
              </w:rPr>
            </w:pPr>
          </w:p>
        </w:tc>
        <w:tc>
          <w:tcPr>
            <w:tcW w:w="404" w:type="pct"/>
          </w:tcPr>
          <w:p w14:paraId="52322B1D" w14:textId="77777777" w:rsidR="00692648" w:rsidRPr="00692648" w:rsidRDefault="00692648" w:rsidP="00692648">
            <w:pPr>
              <w:jc w:val="center"/>
              <w:rPr>
                <w:rFonts w:eastAsiaTheme="minorHAnsi"/>
                <w:sz w:val="22"/>
                <w:szCs w:val="22"/>
                <w:lang w:val="en-CA" w:eastAsia="en-US"/>
              </w:rPr>
            </w:pPr>
          </w:p>
        </w:tc>
        <w:tc>
          <w:tcPr>
            <w:tcW w:w="1056" w:type="pct"/>
          </w:tcPr>
          <w:p w14:paraId="69ACDB7D" w14:textId="77777777" w:rsidR="00692648" w:rsidRPr="00692648" w:rsidRDefault="00692648" w:rsidP="00692648">
            <w:pPr>
              <w:rPr>
                <w:rFonts w:eastAsiaTheme="minorHAnsi"/>
                <w:sz w:val="22"/>
                <w:szCs w:val="22"/>
                <w:lang w:val="en-CA" w:eastAsia="en-US"/>
              </w:rPr>
            </w:pPr>
          </w:p>
        </w:tc>
      </w:tr>
      <w:tr w:rsidR="00D66E65" w:rsidRPr="00692648" w14:paraId="5C5CFADB" w14:textId="77777777" w:rsidTr="00F91FBB">
        <w:tc>
          <w:tcPr>
            <w:tcW w:w="144" w:type="pct"/>
          </w:tcPr>
          <w:p w14:paraId="22DAA87E"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10</w:t>
            </w:r>
          </w:p>
        </w:tc>
        <w:tc>
          <w:tcPr>
            <w:tcW w:w="1781" w:type="pct"/>
          </w:tcPr>
          <w:p w14:paraId="397E9DD9" w14:textId="42B198B7"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 xml:space="preserve">The resource expresses relationship dynamics that are free of value judgements </w:t>
            </w:r>
            <w:r w:rsidR="00D66E65">
              <w:rPr>
                <w:rFonts w:eastAsiaTheme="minorHAnsi"/>
                <w:sz w:val="22"/>
                <w:szCs w:val="22"/>
                <w:lang w:val="en-CA" w:eastAsia="en-US"/>
              </w:rPr>
              <w:t xml:space="preserve">or stereotypes </w:t>
            </w:r>
            <w:r w:rsidRPr="00692648">
              <w:rPr>
                <w:rFonts w:eastAsiaTheme="minorHAnsi"/>
                <w:sz w:val="22"/>
                <w:szCs w:val="22"/>
                <w:lang w:val="en-CA" w:eastAsia="en-US"/>
              </w:rPr>
              <w:t>based on the dominant culture</w:t>
            </w:r>
            <w:r w:rsidR="003946CB">
              <w:rPr>
                <w:rFonts w:eastAsiaTheme="minorHAnsi"/>
                <w:sz w:val="22"/>
                <w:szCs w:val="22"/>
                <w:lang w:val="en-CA" w:eastAsia="en-US"/>
              </w:rPr>
              <w:t xml:space="preserve"> (</w:t>
            </w:r>
            <w:r w:rsidRPr="00692648">
              <w:rPr>
                <w:rFonts w:eastAsiaTheme="minorHAnsi"/>
                <w:sz w:val="22"/>
                <w:szCs w:val="22"/>
                <w:lang w:val="en-CA" w:eastAsia="en-US"/>
              </w:rPr>
              <w:t>e.g., white people depicted as active/givers and Indigenous, Black and racialized people</w:t>
            </w:r>
            <w:r w:rsidR="00E06353">
              <w:rPr>
                <w:rFonts w:eastAsiaTheme="minorHAnsi"/>
                <w:sz w:val="22"/>
                <w:szCs w:val="22"/>
                <w:lang w:val="en-CA" w:eastAsia="en-US"/>
              </w:rPr>
              <w:t xml:space="preserve"> and/or communities</w:t>
            </w:r>
            <w:r w:rsidRPr="00692648">
              <w:rPr>
                <w:rFonts w:eastAsiaTheme="minorHAnsi"/>
                <w:sz w:val="22"/>
                <w:szCs w:val="22"/>
                <w:lang w:val="en-CA" w:eastAsia="en-US"/>
              </w:rPr>
              <w:t xml:space="preserve"> depicted as passive/receivers</w:t>
            </w:r>
            <w:r w:rsidR="003946CB">
              <w:rPr>
                <w:rFonts w:eastAsiaTheme="minorHAnsi"/>
                <w:sz w:val="22"/>
                <w:szCs w:val="22"/>
                <w:lang w:val="en-CA" w:eastAsia="en-US"/>
              </w:rPr>
              <w:t>)</w:t>
            </w:r>
            <w:r w:rsidRPr="00692648">
              <w:rPr>
                <w:rFonts w:eastAsiaTheme="minorHAnsi"/>
                <w:sz w:val="22"/>
                <w:szCs w:val="22"/>
                <w:lang w:val="en-CA" w:eastAsia="en-US"/>
              </w:rPr>
              <w:t>.</w:t>
            </w:r>
          </w:p>
        </w:tc>
        <w:tc>
          <w:tcPr>
            <w:tcW w:w="404" w:type="pct"/>
          </w:tcPr>
          <w:p w14:paraId="497A70E3" w14:textId="77777777" w:rsidR="00692648" w:rsidRPr="00692648" w:rsidRDefault="00692648" w:rsidP="00692648">
            <w:pPr>
              <w:jc w:val="center"/>
              <w:rPr>
                <w:rFonts w:eastAsiaTheme="minorHAnsi"/>
                <w:sz w:val="22"/>
                <w:szCs w:val="22"/>
                <w:lang w:val="en-CA" w:eastAsia="en-US"/>
              </w:rPr>
            </w:pPr>
          </w:p>
        </w:tc>
        <w:tc>
          <w:tcPr>
            <w:tcW w:w="404" w:type="pct"/>
          </w:tcPr>
          <w:p w14:paraId="7949933F" w14:textId="77777777" w:rsidR="00692648" w:rsidRPr="00692648" w:rsidRDefault="00692648" w:rsidP="00692648">
            <w:pPr>
              <w:jc w:val="center"/>
              <w:rPr>
                <w:rFonts w:eastAsiaTheme="minorHAnsi"/>
                <w:sz w:val="22"/>
                <w:szCs w:val="22"/>
                <w:lang w:val="en-CA" w:eastAsia="en-US"/>
              </w:rPr>
            </w:pPr>
          </w:p>
        </w:tc>
        <w:tc>
          <w:tcPr>
            <w:tcW w:w="404" w:type="pct"/>
          </w:tcPr>
          <w:p w14:paraId="16A2CF7A" w14:textId="77777777" w:rsidR="00692648" w:rsidRPr="00692648" w:rsidRDefault="00692648" w:rsidP="00692648">
            <w:pPr>
              <w:jc w:val="center"/>
              <w:rPr>
                <w:rFonts w:eastAsiaTheme="minorHAnsi"/>
                <w:sz w:val="22"/>
                <w:szCs w:val="22"/>
                <w:lang w:val="en-CA" w:eastAsia="en-US"/>
              </w:rPr>
            </w:pPr>
          </w:p>
        </w:tc>
        <w:tc>
          <w:tcPr>
            <w:tcW w:w="404" w:type="pct"/>
          </w:tcPr>
          <w:p w14:paraId="7EFE2AE5" w14:textId="77777777" w:rsidR="00692648" w:rsidRPr="00692648" w:rsidRDefault="00692648" w:rsidP="00692648">
            <w:pPr>
              <w:jc w:val="center"/>
              <w:rPr>
                <w:rFonts w:eastAsiaTheme="minorHAnsi"/>
                <w:sz w:val="22"/>
                <w:szCs w:val="22"/>
                <w:lang w:val="en-CA" w:eastAsia="en-US"/>
              </w:rPr>
            </w:pPr>
          </w:p>
        </w:tc>
        <w:tc>
          <w:tcPr>
            <w:tcW w:w="404" w:type="pct"/>
          </w:tcPr>
          <w:p w14:paraId="77C0A081" w14:textId="77777777" w:rsidR="00692648" w:rsidRPr="00692648" w:rsidRDefault="00692648" w:rsidP="00692648">
            <w:pPr>
              <w:jc w:val="center"/>
              <w:rPr>
                <w:rFonts w:eastAsiaTheme="minorHAnsi"/>
                <w:sz w:val="22"/>
                <w:szCs w:val="22"/>
                <w:lang w:val="en-CA" w:eastAsia="en-US"/>
              </w:rPr>
            </w:pPr>
          </w:p>
        </w:tc>
        <w:tc>
          <w:tcPr>
            <w:tcW w:w="1056" w:type="pct"/>
          </w:tcPr>
          <w:p w14:paraId="33DA64E2" w14:textId="77777777" w:rsidR="00692648" w:rsidRPr="00692648" w:rsidRDefault="00692648" w:rsidP="00692648">
            <w:pPr>
              <w:rPr>
                <w:rFonts w:eastAsiaTheme="minorHAnsi"/>
                <w:sz w:val="22"/>
                <w:szCs w:val="22"/>
                <w:lang w:val="en-CA" w:eastAsia="en-US"/>
              </w:rPr>
            </w:pPr>
          </w:p>
        </w:tc>
      </w:tr>
      <w:tr w:rsidR="00D66E65" w:rsidRPr="00692648" w14:paraId="69BE91E8" w14:textId="77777777" w:rsidTr="00F91FBB">
        <w:tc>
          <w:tcPr>
            <w:tcW w:w="144" w:type="pct"/>
          </w:tcPr>
          <w:p w14:paraId="76108BB5"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lastRenderedPageBreak/>
              <w:t>11</w:t>
            </w:r>
          </w:p>
        </w:tc>
        <w:tc>
          <w:tcPr>
            <w:tcW w:w="1781" w:type="pct"/>
          </w:tcPr>
          <w:p w14:paraId="73CC8B06" w14:textId="2DDECE13"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The resource offers ways to actively oppose racism, anti-Black racism and anti-Indigenous racism at individual, organizational and/or systemic level</w:t>
            </w:r>
            <w:r w:rsidR="003946CB">
              <w:rPr>
                <w:rFonts w:eastAsiaTheme="minorHAnsi"/>
                <w:sz w:val="22"/>
                <w:szCs w:val="22"/>
                <w:lang w:val="en-CA" w:eastAsia="en-US"/>
              </w:rPr>
              <w:t>s</w:t>
            </w:r>
            <w:r w:rsidRPr="00692648">
              <w:rPr>
                <w:rFonts w:eastAsiaTheme="minorHAnsi"/>
                <w:sz w:val="22"/>
                <w:szCs w:val="22"/>
                <w:lang w:val="en-CA" w:eastAsia="en-US"/>
              </w:rPr>
              <w:t>.</w:t>
            </w:r>
          </w:p>
        </w:tc>
        <w:tc>
          <w:tcPr>
            <w:tcW w:w="404" w:type="pct"/>
          </w:tcPr>
          <w:p w14:paraId="08FE5128" w14:textId="77777777" w:rsidR="00692648" w:rsidRPr="00692648" w:rsidRDefault="00692648" w:rsidP="00692648">
            <w:pPr>
              <w:jc w:val="center"/>
              <w:rPr>
                <w:rFonts w:eastAsiaTheme="minorHAnsi"/>
                <w:sz w:val="22"/>
                <w:szCs w:val="22"/>
                <w:lang w:val="en-CA" w:eastAsia="en-US"/>
              </w:rPr>
            </w:pPr>
          </w:p>
        </w:tc>
        <w:tc>
          <w:tcPr>
            <w:tcW w:w="404" w:type="pct"/>
          </w:tcPr>
          <w:p w14:paraId="1F7C1545" w14:textId="77777777" w:rsidR="00692648" w:rsidRPr="00692648" w:rsidRDefault="00692648" w:rsidP="00692648">
            <w:pPr>
              <w:jc w:val="center"/>
              <w:rPr>
                <w:rFonts w:eastAsiaTheme="minorHAnsi"/>
                <w:sz w:val="22"/>
                <w:szCs w:val="22"/>
                <w:lang w:val="en-CA" w:eastAsia="en-US"/>
              </w:rPr>
            </w:pPr>
          </w:p>
        </w:tc>
        <w:tc>
          <w:tcPr>
            <w:tcW w:w="404" w:type="pct"/>
          </w:tcPr>
          <w:p w14:paraId="7648B235" w14:textId="77777777" w:rsidR="00692648" w:rsidRPr="00692648" w:rsidRDefault="00692648" w:rsidP="00692648">
            <w:pPr>
              <w:jc w:val="center"/>
              <w:rPr>
                <w:rFonts w:eastAsiaTheme="minorHAnsi"/>
                <w:sz w:val="22"/>
                <w:szCs w:val="22"/>
                <w:lang w:val="en-CA" w:eastAsia="en-US"/>
              </w:rPr>
            </w:pPr>
          </w:p>
        </w:tc>
        <w:tc>
          <w:tcPr>
            <w:tcW w:w="404" w:type="pct"/>
          </w:tcPr>
          <w:p w14:paraId="5DE999A8" w14:textId="77777777" w:rsidR="00692648" w:rsidRPr="00692648" w:rsidRDefault="00692648" w:rsidP="00692648">
            <w:pPr>
              <w:jc w:val="center"/>
              <w:rPr>
                <w:rFonts w:eastAsiaTheme="minorHAnsi"/>
                <w:sz w:val="22"/>
                <w:szCs w:val="22"/>
                <w:lang w:val="en-CA" w:eastAsia="en-US"/>
              </w:rPr>
            </w:pPr>
          </w:p>
        </w:tc>
        <w:tc>
          <w:tcPr>
            <w:tcW w:w="404" w:type="pct"/>
          </w:tcPr>
          <w:p w14:paraId="65B8AC5A" w14:textId="77777777" w:rsidR="00692648" w:rsidRPr="00692648" w:rsidRDefault="00692648" w:rsidP="00692648">
            <w:pPr>
              <w:jc w:val="center"/>
              <w:rPr>
                <w:rFonts w:eastAsiaTheme="minorHAnsi"/>
                <w:sz w:val="22"/>
                <w:szCs w:val="22"/>
                <w:lang w:val="en-CA" w:eastAsia="en-US"/>
              </w:rPr>
            </w:pPr>
          </w:p>
        </w:tc>
        <w:tc>
          <w:tcPr>
            <w:tcW w:w="1056" w:type="pct"/>
          </w:tcPr>
          <w:p w14:paraId="78B8EF3B" w14:textId="77777777" w:rsidR="00692648" w:rsidRPr="00692648" w:rsidRDefault="00692648" w:rsidP="00692648">
            <w:pPr>
              <w:rPr>
                <w:rFonts w:eastAsiaTheme="minorHAnsi"/>
                <w:sz w:val="22"/>
                <w:szCs w:val="22"/>
                <w:lang w:val="en-CA" w:eastAsia="en-US"/>
              </w:rPr>
            </w:pPr>
          </w:p>
        </w:tc>
      </w:tr>
      <w:tr w:rsidR="00D66E65" w:rsidRPr="00692648" w14:paraId="47371914" w14:textId="77777777" w:rsidTr="00F91FBB">
        <w:tc>
          <w:tcPr>
            <w:tcW w:w="144" w:type="pct"/>
          </w:tcPr>
          <w:p w14:paraId="4EF06BA3"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12</w:t>
            </w:r>
          </w:p>
        </w:tc>
        <w:tc>
          <w:tcPr>
            <w:tcW w:w="1781" w:type="pct"/>
          </w:tcPr>
          <w:p w14:paraId="785E3DCE" w14:textId="77777777" w:rsidR="00692648" w:rsidRPr="00692648" w:rsidRDefault="00692648" w:rsidP="00692648">
            <w:pPr>
              <w:rPr>
                <w:rFonts w:eastAsiaTheme="minorHAnsi"/>
                <w:color w:val="4472C4" w:themeColor="accent1"/>
                <w:sz w:val="22"/>
                <w:szCs w:val="22"/>
                <w:lang w:val="en-CA" w:eastAsia="en-US"/>
              </w:rPr>
            </w:pPr>
            <w:r w:rsidRPr="00692648">
              <w:rPr>
                <w:rFonts w:eastAsiaTheme="minorHAnsi"/>
                <w:sz w:val="22"/>
                <w:szCs w:val="22"/>
                <w:lang w:val="en-CA" w:eastAsia="en-US"/>
              </w:rPr>
              <w:t>The resource was developed with active participation from the communities it talks about, from conceptualization through to completion.</w:t>
            </w:r>
          </w:p>
        </w:tc>
        <w:tc>
          <w:tcPr>
            <w:tcW w:w="404" w:type="pct"/>
          </w:tcPr>
          <w:p w14:paraId="5275EFC3" w14:textId="77777777" w:rsidR="00692648" w:rsidRPr="00692648" w:rsidRDefault="00692648" w:rsidP="00692648">
            <w:pPr>
              <w:jc w:val="center"/>
              <w:rPr>
                <w:rFonts w:eastAsiaTheme="minorHAnsi"/>
                <w:sz w:val="22"/>
                <w:szCs w:val="22"/>
                <w:lang w:val="en-CA" w:eastAsia="en-US"/>
              </w:rPr>
            </w:pPr>
          </w:p>
        </w:tc>
        <w:tc>
          <w:tcPr>
            <w:tcW w:w="404" w:type="pct"/>
          </w:tcPr>
          <w:p w14:paraId="117BE349" w14:textId="77777777" w:rsidR="00692648" w:rsidRPr="00692648" w:rsidRDefault="00692648" w:rsidP="00692648">
            <w:pPr>
              <w:jc w:val="center"/>
              <w:rPr>
                <w:rFonts w:eastAsiaTheme="minorHAnsi"/>
                <w:sz w:val="22"/>
                <w:szCs w:val="22"/>
                <w:lang w:val="en-CA" w:eastAsia="en-US"/>
              </w:rPr>
            </w:pPr>
          </w:p>
        </w:tc>
        <w:tc>
          <w:tcPr>
            <w:tcW w:w="404" w:type="pct"/>
          </w:tcPr>
          <w:p w14:paraId="58CB1A05" w14:textId="77777777" w:rsidR="00692648" w:rsidRPr="00692648" w:rsidRDefault="00692648" w:rsidP="00692648">
            <w:pPr>
              <w:jc w:val="center"/>
              <w:rPr>
                <w:rFonts w:eastAsiaTheme="minorHAnsi"/>
                <w:sz w:val="22"/>
                <w:szCs w:val="22"/>
                <w:lang w:val="en-CA" w:eastAsia="en-US"/>
              </w:rPr>
            </w:pPr>
          </w:p>
        </w:tc>
        <w:tc>
          <w:tcPr>
            <w:tcW w:w="404" w:type="pct"/>
          </w:tcPr>
          <w:p w14:paraId="02B21BFE" w14:textId="77777777" w:rsidR="00692648" w:rsidRPr="00692648" w:rsidRDefault="00692648" w:rsidP="00692648">
            <w:pPr>
              <w:jc w:val="center"/>
              <w:rPr>
                <w:rFonts w:eastAsiaTheme="minorHAnsi"/>
                <w:sz w:val="22"/>
                <w:szCs w:val="22"/>
                <w:lang w:val="en-CA" w:eastAsia="en-US"/>
              </w:rPr>
            </w:pPr>
          </w:p>
        </w:tc>
        <w:tc>
          <w:tcPr>
            <w:tcW w:w="404" w:type="pct"/>
          </w:tcPr>
          <w:p w14:paraId="05E8A184" w14:textId="77777777" w:rsidR="00692648" w:rsidRPr="00692648" w:rsidRDefault="00692648" w:rsidP="00692648">
            <w:pPr>
              <w:jc w:val="center"/>
              <w:rPr>
                <w:rFonts w:eastAsiaTheme="minorHAnsi"/>
                <w:sz w:val="22"/>
                <w:szCs w:val="22"/>
                <w:lang w:val="en-CA" w:eastAsia="en-US"/>
              </w:rPr>
            </w:pPr>
          </w:p>
        </w:tc>
        <w:tc>
          <w:tcPr>
            <w:tcW w:w="1056" w:type="pct"/>
          </w:tcPr>
          <w:p w14:paraId="4888E7F2" w14:textId="77777777" w:rsidR="00692648" w:rsidRPr="00692648" w:rsidRDefault="00692648" w:rsidP="00692648">
            <w:pPr>
              <w:rPr>
                <w:rFonts w:eastAsiaTheme="minorHAnsi"/>
                <w:sz w:val="22"/>
                <w:szCs w:val="22"/>
                <w:lang w:val="en-CA" w:eastAsia="en-US"/>
              </w:rPr>
            </w:pPr>
          </w:p>
        </w:tc>
      </w:tr>
      <w:tr w:rsidR="00D66E65" w:rsidRPr="00692648" w14:paraId="36C902E5" w14:textId="77777777" w:rsidTr="00F91FBB">
        <w:tc>
          <w:tcPr>
            <w:tcW w:w="144" w:type="pct"/>
          </w:tcPr>
          <w:p w14:paraId="27C9ED95"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13</w:t>
            </w:r>
          </w:p>
        </w:tc>
        <w:tc>
          <w:tcPr>
            <w:tcW w:w="1781" w:type="pct"/>
          </w:tcPr>
          <w:p w14:paraId="41A18902" w14:textId="77777777" w:rsidR="00692648" w:rsidRDefault="00692648" w:rsidP="00692648">
            <w:pPr>
              <w:rPr>
                <w:rFonts w:eastAsiaTheme="minorHAnsi"/>
                <w:sz w:val="22"/>
                <w:szCs w:val="22"/>
                <w:lang w:val="en-CA" w:eastAsia="en-US"/>
              </w:rPr>
            </w:pPr>
            <w:r w:rsidRPr="00692648">
              <w:rPr>
                <w:rFonts w:eastAsiaTheme="minorHAnsi"/>
                <w:sz w:val="22"/>
                <w:szCs w:val="22"/>
                <w:lang w:val="en-CA" w:eastAsia="en-US"/>
              </w:rPr>
              <w:t>The resource uses plain language</w:t>
            </w:r>
            <w:r w:rsidR="00D66E65">
              <w:rPr>
                <w:rFonts w:eastAsiaTheme="minorHAnsi"/>
                <w:sz w:val="22"/>
                <w:szCs w:val="22"/>
                <w:lang w:val="en-CA" w:eastAsia="en-US"/>
              </w:rPr>
              <w:t>.</w:t>
            </w:r>
            <w:r w:rsidRPr="00692648">
              <w:rPr>
                <w:rFonts w:eastAsiaTheme="minorHAnsi"/>
                <w:sz w:val="22"/>
                <w:szCs w:val="22"/>
                <w:lang w:val="en-CA" w:eastAsia="en-US"/>
              </w:rPr>
              <w:t xml:space="preserve"> </w:t>
            </w:r>
          </w:p>
          <w:p w14:paraId="08AC3464" w14:textId="3D69DA42" w:rsidR="00F91FBB" w:rsidRPr="00692648" w:rsidRDefault="00F91FBB" w:rsidP="00692648">
            <w:pPr>
              <w:rPr>
                <w:rFonts w:eastAsiaTheme="minorHAnsi"/>
                <w:sz w:val="22"/>
                <w:szCs w:val="22"/>
                <w:lang w:val="en-CA" w:eastAsia="en-US"/>
              </w:rPr>
            </w:pPr>
          </w:p>
        </w:tc>
        <w:tc>
          <w:tcPr>
            <w:tcW w:w="404" w:type="pct"/>
          </w:tcPr>
          <w:p w14:paraId="516289D6" w14:textId="77777777" w:rsidR="00692648" w:rsidRPr="00692648" w:rsidRDefault="00692648" w:rsidP="00692648">
            <w:pPr>
              <w:jc w:val="center"/>
              <w:rPr>
                <w:rFonts w:eastAsiaTheme="minorHAnsi"/>
                <w:sz w:val="22"/>
                <w:szCs w:val="22"/>
                <w:lang w:val="en-CA" w:eastAsia="en-US"/>
              </w:rPr>
            </w:pPr>
          </w:p>
        </w:tc>
        <w:tc>
          <w:tcPr>
            <w:tcW w:w="404" w:type="pct"/>
          </w:tcPr>
          <w:p w14:paraId="4C4EC8B5" w14:textId="77777777" w:rsidR="00692648" w:rsidRPr="00692648" w:rsidRDefault="00692648" w:rsidP="00692648">
            <w:pPr>
              <w:jc w:val="center"/>
              <w:rPr>
                <w:rFonts w:eastAsiaTheme="minorHAnsi"/>
                <w:sz w:val="22"/>
                <w:szCs w:val="22"/>
                <w:lang w:val="en-CA" w:eastAsia="en-US"/>
              </w:rPr>
            </w:pPr>
          </w:p>
        </w:tc>
        <w:tc>
          <w:tcPr>
            <w:tcW w:w="404" w:type="pct"/>
          </w:tcPr>
          <w:p w14:paraId="0576AC29" w14:textId="77777777" w:rsidR="00692648" w:rsidRPr="00692648" w:rsidRDefault="00692648" w:rsidP="00692648">
            <w:pPr>
              <w:jc w:val="center"/>
              <w:rPr>
                <w:rFonts w:eastAsiaTheme="minorHAnsi"/>
                <w:sz w:val="22"/>
                <w:szCs w:val="22"/>
                <w:lang w:val="en-CA" w:eastAsia="en-US"/>
              </w:rPr>
            </w:pPr>
          </w:p>
        </w:tc>
        <w:tc>
          <w:tcPr>
            <w:tcW w:w="404" w:type="pct"/>
          </w:tcPr>
          <w:p w14:paraId="34B763A8" w14:textId="77777777" w:rsidR="00692648" w:rsidRPr="00692648" w:rsidRDefault="00692648" w:rsidP="00692648">
            <w:pPr>
              <w:jc w:val="center"/>
              <w:rPr>
                <w:rFonts w:eastAsiaTheme="minorHAnsi"/>
                <w:sz w:val="22"/>
                <w:szCs w:val="22"/>
                <w:lang w:val="en-CA" w:eastAsia="en-US"/>
              </w:rPr>
            </w:pPr>
          </w:p>
        </w:tc>
        <w:tc>
          <w:tcPr>
            <w:tcW w:w="404" w:type="pct"/>
          </w:tcPr>
          <w:p w14:paraId="7A76F7CC" w14:textId="77777777" w:rsidR="00692648" w:rsidRPr="00692648" w:rsidRDefault="00692648" w:rsidP="00692648">
            <w:pPr>
              <w:jc w:val="center"/>
              <w:rPr>
                <w:rFonts w:eastAsiaTheme="minorHAnsi"/>
                <w:sz w:val="22"/>
                <w:szCs w:val="22"/>
                <w:lang w:val="en-CA" w:eastAsia="en-US"/>
              </w:rPr>
            </w:pPr>
          </w:p>
        </w:tc>
        <w:tc>
          <w:tcPr>
            <w:tcW w:w="1056" w:type="pct"/>
          </w:tcPr>
          <w:p w14:paraId="410D5029" w14:textId="77777777" w:rsidR="00692648" w:rsidRPr="00692648" w:rsidRDefault="00692648" w:rsidP="00692648">
            <w:pPr>
              <w:rPr>
                <w:rFonts w:eastAsiaTheme="minorHAnsi"/>
                <w:sz w:val="22"/>
                <w:szCs w:val="22"/>
                <w:lang w:val="en-CA" w:eastAsia="en-US"/>
              </w:rPr>
            </w:pPr>
          </w:p>
        </w:tc>
      </w:tr>
      <w:tr w:rsidR="00D66E65" w:rsidRPr="00692648" w14:paraId="3875F35C" w14:textId="77777777" w:rsidTr="00F91FBB">
        <w:tc>
          <w:tcPr>
            <w:tcW w:w="144" w:type="pct"/>
          </w:tcPr>
          <w:p w14:paraId="5880E867" w14:textId="77777777" w:rsidR="00692648" w:rsidRPr="00692648" w:rsidRDefault="00692648" w:rsidP="00692648">
            <w:pPr>
              <w:jc w:val="both"/>
              <w:rPr>
                <w:rFonts w:eastAsiaTheme="minorHAnsi"/>
                <w:sz w:val="20"/>
                <w:szCs w:val="20"/>
                <w:lang w:val="en-CA" w:eastAsia="en-US"/>
              </w:rPr>
            </w:pPr>
            <w:r w:rsidRPr="00692648">
              <w:rPr>
                <w:rFonts w:eastAsiaTheme="minorHAnsi"/>
                <w:sz w:val="20"/>
                <w:szCs w:val="20"/>
                <w:lang w:val="en-CA" w:eastAsia="en-US"/>
              </w:rPr>
              <w:t>14</w:t>
            </w:r>
          </w:p>
        </w:tc>
        <w:tc>
          <w:tcPr>
            <w:tcW w:w="1781" w:type="pct"/>
          </w:tcPr>
          <w:p w14:paraId="64608FC2" w14:textId="77777777" w:rsidR="00692648" w:rsidRPr="00692648" w:rsidRDefault="00692648" w:rsidP="00692648">
            <w:pPr>
              <w:rPr>
                <w:rFonts w:eastAsiaTheme="minorHAnsi"/>
                <w:sz w:val="22"/>
                <w:szCs w:val="22"/>
                <w:lang w:val="en-CA" w:eastAsia="en-US"/>
              </w:rPr>
            </w:pPr>
            <w:r w:rsidRPr="00692648">
              <w:rPr>
                <w:rFonts w:eastAsiaTheme="minorHAnsi"/>
                <w:sz w:val="22"/>
                <w:szCs w:val="22"/>
                <w:lang w:val="en-CA" w:eastAsia="en-US"/>
              </w:rPr>
              <w:t>Based on the intended audience and goal of the resource, the right formats are used (i.e., oral, visual and written formats).</w:t>
            </w:r>
          </w:p>
        </w:tc>
        <w:tc>
          <w:tcPr>
            <w:tcW w:w="404" w:type="pct"/>
          </w:tcPr>
          <w:p w14:paraId="6777E53C" w14:textId="77777777" w:rsidR="00692648" w:rsidRPr="00692648" w:rsidRDefault="00692648" w:rsidP="00692648">
            <w:pPr>
              <w:jc w:val="center"/>
              <w:rPr>
                <w:rFonts w:eastAsiaTheme="minorHAnsi"/>
                <w:sz w:val="22"/>
                <w:szCs w:val="22"/>
                <w:lang w:val="en-CA" w:eastAsia="en-US"/>
              </w:rPr>
            </w:pPr>
          </w:p>
        </w:tc>
        <w:tc>
          <w:tcPr>
            <w:tcW w:w="404" w:type="pct"/>
          </w:tcPr>
          <w:p w14:paraId="7DA20DE1" w14:textId="77777777" w:rsidR="00692648" w:rsidRPr="00692648" w:rsidRDefault="00692648" w:rsidP="00692648">
            <w:pPr>
              <w:jc w:val="center"/>
              <w:rPr>
                <w:rFonts w:eastAsiaTheme="minorHAnsi"/>
                <w:sz w:val="22"/>
                <w:szCs w:val="22"/>
                <w:lang w:val="en-CA" w:eastAsia="en-US"/>
              </w:rPr>
            </w:pPr>
          </w:p>
        </w:tc>
        <w:tc>
          <w:tcPr>
            <w:tcW w:w="404" w:type="pct"/>
          </w:tcPr>
          <w:p w14:paraId="4CFB5DD5" w14:textId="77777777" w:rsidR="00692648" w:rsidRPr="00692648" w:rsidRDefault="00692648" w:rsidP="00692648">
            <w:pPr>
              <w:jc w:val="center"/>
              <w:rPr>
                <w:rFonts w:eastAsiaTheme="minorHAnsi"/>
                <w:sz w:val="22"/>
                <w:szCs w:val="22"/>
                <w:lang w:val="en-CA" w:eastAsia="en-US"/>
              </w:rPr>
            </w:pPr>
          </w:p>
        </w:tc>
        <w:tc>
          <w:tcPr>
            <w:tcW w:w="404" w:type="pct"/>
          </w:tcPr>
          <w:p w14:paraId="624BA033" w14:textId="77777777" w:rsidR="00692648" w:rsidRPr="00692648" w:rsidRDefault="00692648" w:rsidP="00692648">
            <w:pPr>
              <w:jc w:val="center"/>
              <w:rPr>
                <w:rFonts w:eastAsiaTheme="minorHAnsi"/>
                <w:sz w:val="22"/>
                <w:szCs w:val="22"/>
                <w:lang w:val="en-CA" w:eastAsia="en-US"/>
              </w:rPr>
            </w:pPr>
          </w:p>
        </w:tc>
        <w:tc>
          <w:tcPr>
            <w:tcW w:w="404" w:type="pct"/>
          </w:tcPr>
          <w:p w14:paraId="0A4DACFB" w14:textId="77777777" w:rsidR="00692648" w:rsidRPr="00692648" w:rsidRDefault="00692648" w:rsidP="00692648">
            <w:pPr>
              <w:jc w:val="center"/>
              <w:rPr>
                <w:rFonts w:eastAsiaTheme="minorHAnsi"/>
                <w:sz w:val="22"/>
                <w:szCs w:val="22"/>
                <w:lang w:val="en-CA" w:eastAsia="en-US"/>
              </w:rPr>
            </w:pPr>
          </w:p>
        </w:tc>
        <w:tc>
          <w:tcPr>
            <w:tcW w:w="1056" w:type="pct"/>
          </w:tcPr>
          <w:p w14:paraId="60F1D49A" w14:textId="77777777" w:rsidR="00692648" w:rsidRPr="00692648" w:rsidRDefault="00692648" w:rsidP="00692648">
            <w:pPr>
              <w:rPr>
                <w:rFonts w:eastAsiaTheme="minorHAnsi"/>
                <w:sz w:val="22"/>
                <w:szCs w:val="22"/>
                <w:lang w:val="en-CA" w:eastAsia="en-US"/>
              </w:rPr>
            </w:pPr>
          </w:p>
        </w:tc>
      </w:tr>
      <w:tr w:rsidR="00D66E65" w:rsidRPr="00692648" w14:paraId="6F138E68" w14:textId="77777777" w:rsidTr="00F91FBB">
        <w:tc>
          <w:tcPr>
            <w:tcW w:w="144" w:type="pct"/>
          </w:tcPr>
          <w:p w14:paraId="2005DAFA" w14:textId="77777777" w:rsidR="00692648" w:rsidRPr="00692648" w:rsidRDefault="00692648" w:rsidP="00692648">
            <w:pPr>
              <w:ind w:left="360"/>
              <w:jc w:val="both"/>
              <w:rPr>
                <w:rFonts w:eastAsiaTheme="minorHAnsi"/>
                <w:sz w:val="20"/>
                <w:szCs w:val="20"/>
                <w:lang w:val="en-CA" w:eastAsia="en-US"/>
              </w:rPr>
            </w:pPr>
          </w:p>
        </w:tc>
        <w:tc>
          <w:tcPr>
            <w:tcW w:w="1781" w:type="pct"/>
          </w:tcPr>
          <w:p w14:paraId="1BAE7866" w14:textId="77777777" w:rsidR="00692648" w:rsidRPr="00692648" w:rsidRDefault="00692648" w:rsidP="00692648">
            <w:pPr>
              <w:rPr>
                <w:rFonts w:eastAsiaTheme="minorHAnsi"/>
                <w:b/>
                <w:bCs/>
                <w:lang w:val="en-CA" w:eastAsia="en-US"/>
              </w:rPr>
            </w:pPr>
            <w:r w:rsidRPr="00692648">
              <w:rPr>
                <w:rFonts w:eastAsiaTheme="minorHAnsi"/>
                <w:b/>
                <w:bCs/>
                <w:lang w:val="en-CA" w:eastAsia="en-US"/>
              </w:rPr>
              <w:t>TOTAL (number of checkmarks in each column)</w:t>
            </w:r>
          </w:p>
          <w:p w14:paraId="0F4D90CA" w14:textId="77777777" w:rsidR="00692648" w:rsidRPr="00692648" w:rsidRDefault="00692648" w:rsidP="00692648">
            <w:pPr>
              <w:rPr>
                <w:rFonts w:eastAsiaTheme="minorHAnsi"/>
                <w:b/>
                <w:bCs/>
                <w:lang w:val="en-CA" w:eastAsia="en-US"/>
              </w:rPr>
            </w:pPr>
          </w:p>
        </w:tc>
        <w:tc>
          <w:tcPr>
            <w:tcW w:w="404" w:type="pct"/>
          </w:tcPr>
          <w:p w14:paraId="2DB83D8C" w14:textId="77777777" w:rsidR="00692648" w:rsidRPr="00692648" w:rsidRDefault="00692648" w:rsidP="00692648">
            <w:pPr>
              <w:jc w:val="center"/>
              <w:rPr>
                <w:rFonts w:eastAsiaTheme="minorHAnsi"/>
                <w:sz w:val="22"/>
                <w:szCs w:val="22"/>
                <w:lang w:val="en-CA" w:eastAsia="en-US"/>
              </w:rPr>
            </w:pPr>
          </w:p>
        </w:tc>
        <w:tc>
          <w:tcPr>
            <w:tcW w:w="404" w:type="pct"/>
          </w:tcPr>
          <w:p w14:paraId="101DE520" w14:textId="77777777" w:rsidR="00692648" w:rsidRPr="00692648" w:rsidRDefault="00692648" w:rsidP="00692648">
            <w:pPr>
              <w:jc w:val="center"/>
              <w:rPr>
                <w:rFonts w:eastAsiaTheme="minorHAnsi"/>
                <w:sz w:val="22"/>
                <w:szCs w:val="22"/>
                <w:lang w:val="en-CA" w:eastAsia="en-US"/>
              </w:rPr>
            </w:pPr>
          </w:p>
        </w:tc>
        <w:tc>
          <w:tcPr>
            <w:tcW w:w="404" w:type="pct"/>
          </w:tcPr>
          <w:p w14:paraId="65EBB81E" w14:textId="77777777" w:rsidR="00692648" w:rsidRPr="00692648" w:rsidRDefault="00692648" w:rsidP="00692648">
            <w:pPr>
              <w:jc w:val="center"/>
              <w:rPr>
                <w:rFonts w:eastAsiaTheme="minorHAnsi"/>
                <w:sz w:val="22"/>
                <w:szCs w:val="22"/>
                <w:lang w:val="en-CA" w:eastAsia="en-US"/>
              </w:rPr>
            </w:pPr>
          </w:p>
        </w:tc>
        <w:tc>
          <w:tcPr>
            <w:tcW w:w="404" w:type="pct"/>
          </w:tcPr>
          <w:p w14:paraId="1F033948" w14:textId="77777777" w:rsidR="00692648" w:rsidRPr="00692648" w:rsidRDefault="00692648" w:rsidP="00692648">
            <w:pPr>
              <w:jc w:val="center"/>
              <w:rPr>
                <w:rFonts w:eastAsiaTheme="minorHAnsi"/>
                <w:sz w:val="22"/>
                <w:szCs w:val="22"/>
                <w:lang w:val="en-CA" w:eastAsia="en-US"/>
              </w:rPr>
            </w:pPr>
          </w:p>
        </w:tc>
        <w:tc>
          <w:tcPr>
            <w:tcW w:w="404" w:type="pct"/>
          </w:tcPr>
          <w:p w14:paraId="59B94596" w14:textId="77777777" w:rsidR="00692648" w:rsidRPr="00692648" w:rsidRDefault="00692648" w:rsidP="00692648">
            <w:pPr>
              <w:jc w:val="center"/>
              <w:rPr>
                <w:rFonts w:eastAsiaTheme="minorHAnsi"/>
                <w:sz w:val="22"/>
                <w:szCs w:val="22"/>
                <w:lang w:val="en-CA" w:eastAsia="en-US"/>
              </w:rPr>
            </w:pPr>
          </w:p>
        </w:tc>
        <w:tc>
          <w:tcPr>
            <w:tcW w:w="1056" w:type="pct"/>
          </w:tcPr>
          <w:p w14:paraId="33AF81CE" w14:textId="77777777" w:rsidR="00692648" w:rsidRPr="00692648" w:rsidRDefault="00692648" w:rsidP="00692648">
            <w:pPr>
              <w:jc w:val="center"/>
              <w:rPr>
                <w:rFonts w:eastAsiaTheme="minorHAnsi"/>
                <w:sz w:val="22"/>
                <w:szCs w:val="22"/>
                <w:lang w:val="en-CA" w:eastAsia="en-US"/>
              </w:rPr>
            </w:pPr>
          </w:p>
        </w:tc>
      </w:tr>
    </w:tbl>
    <w:p w14:paraId="754BBCF6" w14:textId="4637F4B7" w:rsidR="00F91FBB" w:rsidRDefault="00F91FBB" w:rsidP="00692648">
      <w:pPr>
        <w:spacing w:after="160" w:line="259" w:lineRule="auto"/>
        <w:rPr>
          <w:rFonts w:cstheme="minorHAnsi"/>
          <w:lang w:val="en-CA"/>
        </w:rPr>
      </w:pPr>
    </w:p>
    <w:p w14:paraId="6BB3E7D8" w14:textId="77777777" w:rsidR="00F91FBB" w:rsidRDefault="00F91FBB">
      <w:pPr>
        <w:spacing w:after="160" w:line="259" w:lineRule="auto"/>
        <w:rPr>
          <w:rFonts w:cstheme="minorHAnsi"/>
          <w:lang w:val="en-CA"/>
        </w:rPr>
      </w:pPr>
      <w:r>
        <w:rPr>
          <w:rFonts w:cstheme="minorHAnsi"/>
          <w:lang w:val="en-CA"/>
        </w:rPr>
        <w:br w:type="page"/>
      </w:r>
    </w:p>
    <w:p w14:paraId="68C62121" w14:textId="2D0D076C" w:rsidR="00252606" w:rsidRPr="00D66E65" w:rsidRDefault="00252606" w:rsidP="00D66E65">
      <w:pPr>
        <w:pStyle w:val="Heading2"/>
        <w:ind w:left="0"/>
        <w:rPr>
          <w:color w:val="4472C4" w:themeColor="accent1"/>
          <w:lang w:val="en-CA"/>
        </w:rPr>
      </w:pPr>
      <w:bookmarkStart w:id="9" w:name="_Toc146132658"/>
      <w:r w:rsidRPr="00D66E65">
        <w:rPr>
          <w:color w:val="4472C4" w:themeColor="accent1"/>
          <w:lang w:val="en-CA"/>
        </w:rPr>
        <w:lastRenderedPageBreak/>
        <w:t xml:space="preserve">Step 5: </w:t>
      </w:r>
      <w:r w:rsidR="00692648" w:rsidRPr="00D66E65">
        <w:rPr>
          <w:color w:val="4472C4" w:themeColor="accent1"/>
          <w:lang w:val="en-CA"/>
        </w:rPr>
        <w:t xml:space="preserve">Look </w:t>
      </w:r>
      <w:r w:rsidR="000A68EA" w:rsidRPr="00D66E65">
        <w:rPr>
          <w:color w:val="4472C4" w:themeColor="accent1"/>
          <w:lang w:val="en-CA"/>
        </w:rPr>
        <w:t>at Your Results &amp; Next Steps</w:t>
      </w:r>
      <w:bookmarkEnd w:id="9"/>
      <w:r w:rsidR="000A68EA" w:rsidRPr="00D66E65">
        <w:rPr>
          <w:color w:val="4472C4" w:themeColor="accent1"/>
          <w:lang w:val="en-CA"/>
        </w:rPr>
        <w:t xml:space="preserve"> </w:t>
      </w:r>
    </w:p>
    <w:p w14:paraId="35274E57" w14:textId="77777777" w:rsidR="000A68EA" w:rsidRDefault="000A68EA" w:rsidP="006C395E">
      <w:pPr>
        <w:spacing w:before="120"/>
        <w:rPr>
          <w:lang w:val="en-CA"/>
        </w:rPr>
      </w:pPr>
    </w:p>
    <w:p w14:paraId="3FF530C1" w14:textId="2B18CD44" w:rsidR="000A68EA" w:rsidRDefault="000A68EA" w:rsidP="000A68EA">
      <w:r>
        <w:t>As stated above, a</w:t>
      </w:r>
      <w:r w:rsidRPr="003F2D54">
        <w:t xml:space="preserve">fter completing the </w:t>
      </w:r>
      <w:r>
        <w:t>Tool</w:t>
      </w:r>
      <w:r w:rsidRPr="003F2D54">
        <w:t xml:space="preserve"> individually, hold a </w:t>
      </w:r>
      <w:r>
        <w:t>d</w:t>
      </w:r>
      <w:r w:rsidRPr="003F2D54">
        <w:t xml:space="preserve">iscussion with </w:t>
      </w:r>
      <w:r>
        <w:t xml:space="preserve">everyone </w:t>
      </w:r>
      <w:r w:rsidRPr="003F2D54">
        <w:t xml:space="preserve">who completed the </w:t>
      </w:r>
      <w:r>
        <w:t>Tool</w:t>
      </w:r>
      <w:r w:rsidRPr="003F2D54">
        <w:t xml:space="preserve"> in order to </w:t>
      </w:r>
      <w:r>
        <w:t xml:space="preserve">review </w:t>
      </w:r>
      <w:r w:rsidRPr="003F2D54">
        <w:t xml:space="preserve">the results. </w:t>
      </w:r>
      <w:r>
        <w:t>Explore where</w:t>
      </w:r>
      <w:r w:rsidRPr="003F2D54">
        <w:t xml:space="preserve"> </w:t>
      </w:r>
      <w:r>
        <w:t xml:space="preserve">people agree and where they don’t agree or assessed differently and why.  Pay special attention to the </w:t>
      </w:r>
      <w:r w:rsidR="00D66E65">
        <w:t>standards</w:t>
      </w:r>
      <w:r>
        <w:t xml:space="preserve"> that were marked low or where there is disagreement. </w:t>
      </w:r>
    </w:p>
    <w:p w14:paraId="4B29DD4C" w14:textId="77777777" w:rsidR="000A68EA" w:rsidRDefault="000A68EA" w:rsidP="000A68EA">
      <w:pPr>
        <w:rPr>
          <w:b/>
          <w:bCs/>
          <w:sz w:val="26"/>
          <w:szCs w:val="26"/>
          <w:u w:val="single"/>
        </w:rPr>
      </w:pPr>
    </w:p>
    <w:p w14:paraId="3C5C2B17" w14:textId="0B613442" w:rsidR="000A68EA" w:rsidRPr="00384AE3" w:rsidRDefault="000A68EA" w:rsidP="000A68EA">
      <w:r w:rsidRPr="00384AE3">
        <w:rPr>
          <w:b/>
          <w:bCs/>
          <w:sz w:val="26"/>
          <w:szCs w:val="26"/>
          <w:u w:val="single"/>
        </w:rPr>
        <w:t xml:space="preserve">If </w:t>
      </w:r>
      <w:r>
        <w:rPr>
          <w:b/>
          <w:bCs/>
          <w:sz w:val="26"/>
          <w:szCs w:val="26"/>
          <w:u w:val="single"/>
        </w:rPr>
        <w:t>you</w:t>
      </w:r>
      <w:r w:rsidRPr="00384AE3">
        <w:rPr>
          <w:b/>
          <w:bCs/>
          <w:sz w:val="26"/>
          <w:szCs w:val="26"/>
          <w:u w:val="single"/>
        </w:rPr>
        <w:t xml:space="preserve"> have mostly “low/no degree” </w:t>
      </w:r>
      <w:r>
        <w:rPr>
          <w:b/>
          <w:bCs/>
          <w:sz w:val="26"/>
          <w:szCs w:val="26"/>
          <w:u w:val="single"/>
        </w:rPr>
        <w:t xml:space="preserve">(with possibly </w:t>
      </w:r>
      <w:r w:rsidRPr="00384AE3">
        <w:rPr>
          <w:b/>
          <w:bCs/>
          <w:sz w:val="26"/>
          <w:szCs w:val="26"/>
          <w:u w:val="single"/>
        </w:rPr>
        <w:t>a few “to some degree” checkmarks</w:t>
      </w:r>
      <w:r>
        <w:rPr>
          <w:b/>
          <w:bCs/>
          <w:sz w:val="26"/>
          <w:szCs w:val="26"/>
          <w:u w:val="single"/>
        </w:rPr>
        <w:t>)</w:t>
      </w:r>
      <w:r w:rsidRPr="003803F9">
        <w:t xml:space="preserve">, </w:t>
      </w:r>
      <w:r w:rsidRPr="00384AE3">
        <w:t xml:space="preserve">your resource needs to better incorporate an anti-racist framework, inclusive language, or inclusive examples. It is recommended that you conduct additional research, access some expert support and/or consult with your intended communit(ies) for the resource </w:t>
      </w:r>
      <w:r>
        <w:t xml:space="preserve">to </w:t>
      </w:r>
      <w:r w:rsidRPr="00384AE3">
        <w:t xml:space="preserve">help you revise your resource to be more inclusive.  </w:t>
      </w:r>
      <w:hyperlink w:anchor="_Appendix_A:_Additional" w:history="1">
        <w:r w:rsidRPr="00F91FBB">
          <w:rPr>
            <w:rStyle w:val="Hyperlink"/>
            <w:b/>
            <w:bCs/>
          </w:rPr>
          <w:t>Appendix A</w:t>
        </w:r>
      </w:hyperlink>
      <w:r>
        <w:t xml:space="preserve"> </w:t>
      </w:r>
      <w:r w:rsidRPr="00384AE3">
        <w:t xml:space="preserve"> can be a great place to start.</w:t>
      </w:r>
    </w:p>
    <w:p w14:paraId="36EDD611" w14:textId="77777777" w:rsidR="000A68EA" w:rsidRDefault="000A68EA" w:rsidP="000A68EA"/>
    <w:p w14:paraId="5D3A134E" w14:textId="651B1E39" w:rsidR="000A68EA" w:rsidRPr="00384AE3" w:rsidRDefault="000A68EA" w:rsidP="000A68EA">
      <w:r w:rsidRPr="00384AE3">
        <w:rPr>
          <w:b/>
          <w:bCs/>
          <w:sz w:val="26"/>
          <w:szCs w:val="26"/>
          <w:u w:val="single"/>
        </w:rPr>
        <w:t>If you have a mix of “low/no degree” and “to some degree” and “high degree” checkmarks</w:t>
      </w:r>
      <w:r w:rsidRPr="00384AE3">
        <w:t>, your resource</w:t>
      </w:r>
      <w:r w:rsidRPr="00384AE3">
        <w:rPr>
          <w:b/>
          <w:bCs/>
        </w:rPr>
        <w:t xml:space="preserve"> </w:t>
      </w:r>
      <w:r w:rsidRPr="00384AE3">
        <w:t xml:space="preserve">incorporates an anti-racist framework in some areas, so you have a good start!  Review the </w:t>
      </w:r>
      <w:r w:rsidR="00D66E65">
        <w:t>standards</w:t>
      </w:r>
      <w:r w:rsidRPr="00384AE3">
        <w:t xml:space="preserve"> where you scored the lowest and use them as your roadmap for additional review and revisions.  It is recommended that you consult additional resources in order to revise and strengthen your resource. Use </w:t>
      </w:r>
      <w:hyperlink w:anchor="Appendix_A" w:history="1">
        <w:r w:rsidRPr="00F91FBB">
          <w:rPr>
            <w:rStyle w:val="Hyperlink"/>
            <w:b/>
            <w:bCs/>
          </w:rPr>
          <w:t>Appendix A</w:t>
        </w:r>
      </w:hyperlink>
      <w:r>
        <w:t xml:space="preserve"> </w:t>
      </w:r>
      <w:r w:rsidRPr="00384AE3">
        <w:t xml:space="preserve"> to get you on your way.</w:t>
      </w:r>
    </w:p>
    <w:p w14:paraId="18037BF8" w14:textId="77777777" w:rsidR="000A68EA" w:rsidRDefault="000A68EA" w:rsidP="000A68EA">
      <w:pPr>
        <w:rPr>
          <w:b/>
          <w:bCs/>
          <w:color w:val="70AD47" w:themeColor="accent6"/>
          <w:sz w:val="28"/>
          <w:szCs w:val="28"/>
        </w:rPr>
      </w:pPr>
    </w:p>
    <w:p w14:paraId="58B78A65" w14:textId="0C446FA2" w:rsidR="000A68EA" w:rsidRPr="00384AE3" w:rsidRDefault="000A68EA" w:rsidP="000A68EA">
      <w:r w:rsidRPr="00384AE3">
        <w:rPr>
          <w:b/>
          <w:bCs/>
          <w:sz w:val="26"/>
          <w:szCs w:val="26"/>
          <w:u w:val="single"/>
        </w:rPr>
        <w:t xml:space="preserve">If </w:t>
      </w:r>
      <w:r w:rsidR="00063DBE" w:rsidRPr="00384AE3">
        <w:rPr>
          <w:b/>
          <w:bCs/>
          <w:sz w:val="26"/>
          <w:szCs w:val="26"/>
          <w:u w:val="single"/>
        </w:rPr>
        <w:t>you</w:t>
      </w:r>
      <w:r w:rsidRPr="00384AE3">
        <w:rPr>
          <w:b/>
          <w:bCs/>
          <w:sz w:val="26"/>
          <w:szCs w:val="26"/>
          <w:u w:val="single"/>
        </w:rPr>
        <w:t xml:space="preserve"> have mostly “</w:t>
      </w:r>
      <w:r>
        <w:rPr>
          <w:b/>
          <w:bCs/>
          <w:sz w:val="26"/>
          <w:szCs w:val="26"/>
          <w:u w:val="single"/>
        </w:rPr>
        <w:t>high</w:t>
      </w:r>
      <w:r w:rsidRPr="00384AE3">
        <w:rPr>
          <w:b/>
          <w:bCs/>
          <w:sz w:val="26"/>
          <w:szCs w:val="26"/>
          <w:u w:val="single"/>
        </w:rPr>
        <w:t xml:space="preserve"> degree” </w:t>
      </w:r>
      <w:r>
        <w:rPr>
          <w:b/>
          <w:bCs/>
          <w:sz w:val="26"/>
          <w:szCs w:val="26"/>
          <w:u w:val="single"/>
        </w:rPr>
        <w:t xml:space="preserve">(with possibly </w:t>
      </w:r>
      <w:r w:rsidRPr="00384AE3">
        <w:rPr>
          <w:b/>
          <w:bCs/>
          <w:sz w:val="26"/>
          <w:szCs w:val="26"/>
          <w:u w:val="single"/>
        </w:rPr>
        <w:t>a few “to some degree” checkmarks</w:t>
      </w:r>
      <w:r>
        <w:rPr>
          <w:b/>
          <w:bCs/>
          <w:sz w:val="26"/>
          <w:szCs w:val="26"/>
          <w:u w:val="single"/>
        </w:rPr>
        <w:t>)</w:t>
      </w:r>
      <w:r w:rsidRPr="003803F9">
        <w:t xml:space="preserve">, </w:t>
      </w:r>
      <w:r w:rsidRPr="00384AE3">
        <w:t xml:space="preserve">your resource incorporates an anti-racist framework in many areas, </w:t>
      </w:r>
      <w:r>
        <w:t xml:space="preserve">so </w:t>
      </w:r>
      <w:r w:rsidRPr="00384AE3">
        <w:t xml:space="preserve">congratulations! It is recommended that you review any </w:t>
      </w:r>
      <w:r w:rsidR="00D66E65">
        <w:t>standards</w:t>
      </w:r>
      <w:r w:rsidRPr="00384AE3">
        <w:t xml:space="preserve"> where you scored low and use them as a roadmap for revisions.</w:t>
      </w:r>
    </w:p>
    <w:p w14:paraId="14453277" w14:textId="77777777" w:rsidR="000A68EA" w:rsidRDefault="000A68EA" w:rsidP="000A68EA">
      <w:pPr>
        <w:rPr>
          <w:b/>
          <w:bCs/>
          <w:u w:val="single"/>
        </w:rPr>
      </w:pPr>
    </w:p>
    <w:p w14:paraId="3DADB6AE" w14:textId="19DB594E" w:rsidR="000A68EA" w:rsidRDefault="000A68EA" w:rsidP="000A68EA">
      <w:r w:rsidRPr="00986B3B">
        <w:rPr>
          <w:b/>
          <w:bCs/>
          <w:u w:val="single"/>
        </w:rPr>
        <w:t>If you chose “Don’t Know” or “Not Applicable” for any statements</w:t>
      </w:r>
      <w:r w:rsidRPr="00986B3B">
        <w:t xml:space="preserve">, discuss if you need the answer or if the </w:t>
      </w:r>
      <w:r w:rsidR="003D148B">
        <w:t>standard</w:t>
      </w:r>
      <w:r w:rsidRPr="00986B3B">
        <w:t xml:space="preserve"> SHOULD apply when considering what kind of revisions might need to occur.</w:t>
      </w:r>
      <w:r w:rsidRPr="00CB4C02">
        <w:t xml:space="preserve"> </w:t>
      </w:r>
      <w:r>
        <w:t xml:space="preserve"> If you are not sure, the resources in </w:t>
      </w:r>
      <w:hyperlink w:anchor="Appendix_A" w:history="1">
        <w:r w:rsidRPr="00F91FBB">
          <w:rPr>
            <w:rStyle w:val="Hyperlink"/>
            <w:b/>
            <w:bCs/>
          </w:rPr>
          <w:t>Appendix A</w:t>
        </w:r>
      </w:hyperlink>
      <w:r>
        <w:t xml:space="preserve"> can offer you guidance. </w:t>
      </w:r>
    </w:p>
    <w:p w14:paraId="07637005" w14:textId="77777777" w:rsidR="002F10B2" w:rsidRDefault="002F10B2" w:rsidP="000A68EA"/>
    <w:p w14:paraId="5284B188" w14:textId="52578CB4" w:rsidR="002F10B2" w:rsidRPr="00183A28" w:rsidRDefault="00333C7A" w:rsidP="00D66E65">
      <w:pPr>
        <w:pStyle w:val="Heading1"/>
        <w:ind w:left="0"/>
        <w:rPr>
          <w:lang w:val="en-CA"/>
        </w:rPr>
      </w:pPr>
      <w:bookmarkStart w:id="10" w:name="_Toc146132659"/>
      <w:r>
        <w:rPr>
          <w:lang w:val="en-CA"/>
        </w:rPr>
        <w:t>A Last Note</w:t>
      </w:r>
      <w:bookmarkEnd w:id="10"/>
    </w:p>
    <w:p w14:paraId="346E0A51" w14:textId="77777777" w:rsidR="002F10B2" w:rsidRPr="002F10B2" w:rsidRDefault="002F10B2" w:rsidP="000A68EA">
      <w:pPr>
        <w:rPr>
          <w:lang w:val="en-CA"/>
        </w:rPr>
      </w:pPr>
    </w:p>
    <w:p w14:paraId="039332CB" w14:textId="77777777" w:rsidR="00333C7A" w:rsidRPr="00694BDA" w:rsidRDefault="00333C7A" w:rsidP="00333C7A">
      <w:r w:rsidRPr="00694BDA">
        <w:t xml:space="preserve">It should be an ongoing practice to regularly evaluate your resource.  Ensure you have confidential ways to gather feedback from your intended users of the resource, so that you can keep revising it to meet stakeholders’ needs in the best way possible.  </w:t>
      </w:r>
    </w:p>
    <w:p w14:paraId="37BCAB45" w14:textId="1DB92EDA" w:rsidR="00300F78" w:rsidRPr="00183A28" w:rsidRDefault="00300F78" w:rsidP="00D66E65">
      <w:pPr>
        <w:pStyle w:val="Heading1"/>
        <w:ind w:left="0"/>
        <w:rPr>
          <w:lang w:val="en-CA"/>
        </w:rPr>
      </w:pPr>
      <w:bookmarkStart w:id="11" w:name="Appendix_A"/>
      <w:bookmarkStart w:id="12" w:name="_Appendix_A:"/>
      <w:bookmarkStart w:id="13" w:name="_Appendix_A:_Additional"/>
      <w:bookmarkStart w:id="14" w:name="_Toc146132660"/>
      <w:bookmarkEnd w:id="11"/>
      <w:bookmarkEnd w:id="12"/>
      <w:bookmarkEnd w:id="13"/>
      <w:r>
        <w:rPr>
          <w:lang w:val="en-CA"/>
        </w:rPr>
        <w:lastRenderedPageBreak/>
        <w:t>Appendi</w:t>
      </w:r>
      <w:r w:rsidR="00333C7A">
        <w:rPr>
          <w:lang w:val="en-CA"/>
        </w:rPr>
        <w:t xml:space="preserve">x A: </w:t>
      </w:r>
      <w:r w:rsidR="00D66E65">
        <w:rPr>
          <w:lang w:val="en-CA"/>
        </w:rPr>
        <w:t>Additional Resources</w:t>
      </w:r>
      <w:bookmarkEnd w:id="14"/>
    </w:p>
    <w:p w14:paraId="71F66951" w14:textId="77777777" w:rsidR="00333C7A" w:rsidRDefault="00333C7A" w:rsidP="00333C7A"/>
    <w:p w14:paraId="15333BE5" w14:textId="77777777" w:rsidR="00333C7A" w:rsidRPr="00694BDA" w:rsidRDefault="00333C7A" w:rsidP="00333C7A">
      <w:r w:rsidRPr="00694BDA">
        <w:t xml:space="preserve">Annie E. Casey Foundation. “Race Equity and Inclusion Action Guide:  Embracing Racial Equity: 7 Steps to Advance and Embed Race Equity and Inclusion Within Your Organization” which can be accessed on their website: </w:t>
      </w:r>
      <w:hyperlink r:id="rId10" w:history="1">
        <w:r w:rsidRPr="00694BDA">
          <w:rPr>
            <w:rStyle w:val="Hyperlink"/>
          </w:rPr>
          <w:t>https://www.aecf.org/resources/race-equity-and-inclusion-action-guide</w:t>
        </w:r>
      </w:hyperlink>
    </w:p>
    <w:p w14:paraId="698D7038" w14:textId="77777777" w:rsidR="00333C7A" w:rsidRPr="00694BDA" w:rsidRDefault="00333C7A" w:rsidP="00333C7A">
      <w:pPr>
        <w:rPr>
          <w:rFonts w:eastAsia="Times New Roman"/>
        </w:rPr>
      </w:pPr>
    </w:p>
    <w:p w14:paraId="7216FEBD" w14:textId="77777777" w:rsidR="00333C7A" w:rsidRPr="00694BDA" w:rsidRDefault="00333C7A" w:rsidP="00333C7A">
      <w:pPr>
        <w:rPr>
          <w:rFonts w:eastAsia="Times New Roman"/>
        </w:rPr>
      </w:pPr>
      <w:r w:rsidRPr="00694BDA">
        <w:rPr>
          <w:rFonts w:eastAsia="Times New Roman"/>
        </w:rPr>
        <w:t>Chavez, Felicia Rose.  “</w:t>
      </w:r>
      <w:r w:rsidRPr="00694BDA">
        <w:rPr>
          <w:rFonts w:cstheme="minorHAnsi"/>
          <w:color w:val="000000"/>
        </w:rPr>
        <w:t xml:space="preserve">The anti-racist writing workshop: how to decolonize the creative classroom” which can be access on their website:  </w:t>
      </w:r>
      <w:r w:rsidRPr="00694BDA">
        <w:rPr>
          <w:rFonts w:eastAsia="Times New Roman"/>
        </w:rPr>
        <w:t xml:space="preserve"> </w:t>
      </w:r>
      <w:hyperlink r:id="rId11" w:history="1">
        <w:r w:rsidRPr="00694BDA">
          <w:rPr>
            <w:rStyle w:val="Hyperlink"/>
            <w:rFonts w:eastAsia="Times New Roman"/>
          </w:rPr>
          <w:t>https://www.antiracistworkshop.com/</w:t>
        </w:r>
      </w:hyperlink>
    </w:p>
    <w:p w14:paraId="77379629" w14:textId="77777777" w:rsidR="00333C7A" w:rsidRPr="00694BDA" w:rsidRDefault="00333C7A" w:rsidP="00333C7A">
      <w:pPr>
        <w:rPr>
          <w:rFonts w:eastAsia="Times New Roman"/>
        </w:rPr>
      </w:pPr>
    </w:p>
    <w:p w14:paraId="2A88ACB0" w14:textId="77777777" w:rsidR="00333C7A" w:rsidRPr="00694BDA" w:rsidRDefault="00333C7A" w:rsidP="00333C7A">
      <w:pPr>
        <w:rPr>
          <w:rFonts w:eastAsia="Times New Roman"/>
        </w:rPr>
      </w:pPr>
      <w:r w:rsidRPr="00694BDA">
        <w:rPr>
          <w:rFonts w:eastAsia="Times New Roman"/>
        </w:rPr>
        <w:t xml:space="preserve">CommunityWise Resource Centre: “Anti-Racist Organizational Change: Resources &amp; Tools for Nonprofits” </w:t>
      </w:r>
      <w:r w:rsidRPr="00694BDA">
        <w:t>which can be accessed on their website:</w:t>
      </w:r>
      <w:r w:rsidRPr="00694BDA">
        <w:rPr>
          <w:rFonts w:eastAsia="Times New Roman"/>
        </w:rPr>
        <w:t xml:space="preserve">   </w:t>
      </w:r>
      <w:hyperlink r:id="rId12" w:history="1">
        <w:r w:rsidRPr="00694BDA">
          <w:rPr>
            <w:rStyle w:val="Hyperlink"/>
            <w:rFonts w:eastAsia="Times New Roman"/>
          </w:rPr>
          <w:t>https://communitywise.net/wp-content/uploads/2017/10/AROC-Resources-and-Tools_web.pdf</w:t>
        </w:r>
      </w:hyperlink>
      <w:r w:rsidRPr="00694BDA">
        <w:rPr>
          <w:rFonts w:eastAsia="Times New Roman"/>
        </w:rPr>
        <w:t xml:space="preserve"> </w:t>
      </w:r>
    </w:p>
    <w:p w14:paraId="5855B746" w14:textId="77777777" w:rsidR="00333C7A" w:rsidRPr="00694BDA" w:rsidRDefault="00333C7A" w:rsidP="00333C7A">
      <w:pPr>
        <w:rPr>
          <w:rFonts w:eastAsia="Times New Roman"/>
        </w:rPr>
      </w:pPr>
    </w:p>
    <w:p w14:paraId="6B64E260" w14:textId="77777777" w:rsidR="00333C7A" w:rsidRPr="00694BDA" w:rsidRDefault="00333C7A" w:rsidP="00333C7A">
      <w:r w:rsidRPr="00694BDA">
        <w:rPr>
          <w:rFonts w:eastAsia="Times New Roman"/>
        </w:rPr>
        <w:t>Equity in the Center.  “</w:t>
      </w:r>
      <w:r w:rsidRPr="00694BDA">
        <w:rPr>
          <w:rStyle w:val="markedcontent"/>
          <w:rFonts w:cstheme="minorHAnsi"/>
        </w:rPr>
        <w:t>AWAKE TO WOKE TO WORK: Building a Race Equity Culture”</w:t>
      </w:r>
      <w:r w:rsidRPr="00694BDA">
        <w:t xml:space="preserve"> which can be accessed on their website:</w:t>
      </w:r>
    </w:p>
    <w:p w14:paraId="184D76F0" w14:textId="77777777" w:rsidR="00333C7A" w:rsidRPr="00694BDA" w:rsidRDefault="00333C7A" w:rsidP="00333C7A">
      <w:hyperlink r:id="rId13" w:history="1">
        <w:r w:rsidRPr="00694BDA">
          <w:rPr>
            <w:rStyle w:val="Hyperlink"/>
          </w:rPr>
          <w:t>https://equityinthecenter.org/wp-content/uploads/2021/11/eic_aww-pub_wip_final-112021.pdf</w:t>
        </w:r>
      </w:hyperlink>
    </w:p>
    <w:p w14:paraId="50AA69ED" w14:textId="42121EB6" w:rsidR="00E06353" w:rsidRDefault="00E06353" w:rsidP="00333C7A">
      <w:pPr>
        <w:spacing w:before="240" w:after="240"/>
      </w:pPr>
      <w:r>
        <w:t xml:space="preserve">Journalists for Human Rights (2017).  Style Guide for Reporting on Indigenous People.  </w:t>
      </w:r>
      <w:hyperlink r:id="rId14" w:history="1">
        <w:r w:rsidRPr="00136CD3">
          <w:rPr>
            <w:rStyle w:val="Hyperlink"/>
          </w:rPr>
          <w:t>https://jhr.ca/wp-content/uploads/2017/12/JHR2017-Style-Book-Indigenous-People.pdf</w:t>
        </w:r>
      </w:hyperlink>
    </w:p>
    <w:p w14:paraId="03647A6B" w14:textId="34AE8C01" w:rsidR="00333C7A" w:rsidRPr="00694BDA" w:rsidRDefault="00333C7A" w:rsidP="00333C7A">
      <w:pPr>
        <w:spacing w:before="240" w:after="240"/>
      </w:pPr>
      <w:r w:rsidRPr="00694BDA">
        <w:t xml:space="preserve">Race Forward, Center for Social Inclusion. (2018). </w:t>
      </w:r>
      <w:r w:rsidRPr="00694BDA">
        <w:rPr>
          <w:i/>
        </w:rPr>
        <w:t xml:space="preserve">Ready for Equity in Workforce Development: Racial Equity Readiness Assessment Tool. </w:t>
      </w:r>
      <w:r w:rsidRPr="00694BDA">
        <w:t xml:space="preserve">Race Forward. </w:t>
      </w:r>
      <w:hyperlink r:id="rId15">
        <w:r w:rsidRPr="00694BDA">
          <w:rPr>
            <w:color w:val="1155CC"/>
            <w:u w:val="single"/>
          </w:rPr>
          <w:t>https://www.raceforward.org/practice/Tools/workforce-development-racial-equity-readiness-assessment</w:t>
        </w:r>
      </w:hyperlink>
      <w:r w:rsidRPr="00694BDA">
        <w:t xml:space="preserve"> </w:t>
      </w:r>
    </w:p>
    <w:p w14:paraId="40B90641" w14:textId="77777777" w:rsidR="00333C7A" w:rsidRPr="00694BDA" w:rsidRDefault="00333C7A" w:rsidP="00333C7A">
      <w:pPr>
        <w:spacing w:before="240" w:after="240"/>
        <w:rPr>
          <w:b/>
        </w:rPr>
      </w:pPr>
      <w:r w:rsidRPr="00694BDA">
        <w:t xml:space="preserve">Rubio et al. (2014). </w:t>
      </w:r>
      <w:r w:rsidRPr="00694BDA">
        <w:rPr>
          <w:i/>
        </w:rPr>
        <w:t xml:space="preserve">Tool for Organizational Self-Assessment Related to Racial Equity. </w:t>
      </w:r>
      <w:r w:rsidRPr="00694BDA">
        <w:t xml:space="preserve">Coalition of Communities of Colour. </w:t>
      </w:r>
    </w:p>
    <w:p w14:paraId="1531CBF9" w14:textId="77777777" w:rsidR="00333C7A" w:rsidRPr="00694BDA" w:rsidRDefault="00333C7A" w:rsidP="00333C7A">
      <w:pPr>
        <w:spacing w:before="240" w:after="240"/>
        <w:rPr>
          <w:b/>
          <w:color w:val="BE59BE"/>
          <w:highlight w:val="white"/>
          <w:u w:val="single"/>
        </w:rPr>
      </w:pPr>
      <w:r w:rsidRPr="00694BDA">
        <w:t xml:space="preserve">Shenker-Osorio, Anat. (2017). </w:t>
      </w:r>
      <w:r w:rsidRPr="00694BDA">
        <w:rPr>
          <w:i/>
        </w:rPr>
        <w:t>Messaging this Moment: A Handbook for Progressive Communicators.</w:t>
      </w:r>
      <w:r w:rsidRPr="00694BDA">
        <w:t xml:space="preserve"> Centre for Community Change. </w:t>
      </w:r>
      <w:hyperlink r:id="rId16">
        <w:r w:rsidRPr="00694BDA">
          <w:rPr>
            <w:color w:val="1155CC"/>
            <w:u w:val="single"/>
          </w:rPr>
          <w:t>https://communitychange.org/messaging-moment-handbook-progressive-communicators/</w:t>
        </w:r>
      </w:hyperlink>
      <w:r w:rsidRPr="00694BDA">
        <w:t xml:space="preserve"> </w:t>
      </w:r>
    </w:p>
    <w:p w14:paraId="326AD990" w14:textId="77777777" w:rsidR="00333C7A" w:rsidRPr="00694BDA" w:rsidRDefault="00333C7A" w:rsidP="00333C7A">
      <w:r w:rsidRPr="00694BDA">
        <w:t xml:space="preserve">Simon Fraser University Library Student Learning Commons offers a number of resources on inclusive and anti-racist writing which can be accessed on their website </w:t>
      </w:r>
      <w:hyperlink r:id="rId17" w:anchor=":~:text=About%20inclusive%20%26%20antiracist%20writing,-Inclusive%20and%20antiracist&amp;text=Exclusive%20language%20is%20often%20used,harmed%20through%20careless%20word%20choice" w:history="1">
        <w:r w:rsidRPr="00694BDA">
          <w:rPr>
            <w:rStyle w:val="Hyperlink"/>
          </w:rPr>
          <w:t>https://www.lib.sfu.ca/about/branches-depts/slc/writing/inclusive-antiracist-writing#:~:text=About%20inclusive%20%26%20antiracist%20writing,-Inclusive%20and%20antiracist&amp;text=Exclusive%20language%20is%20often%20used,harmed%20through%20careless%20word%20choice</w:t>
        </w:r>
      </w:hyperlink>
      <w:r w:rsidRPr="00694BDA">
        <w:t xml:space="preserve">. </w:t>
      </w:r>
    </w:p>
    <w:p w14:paraId="48293571" w14:textId="77777777" w:rsidR="00333C7A" w:rsidRPr="00D836AC" w:rsidRDefault="00333C7A" w:rsidP="00333C7A">
      <w:pPr>
        <w:spacing w:before="240" w:after="240"/>
        <w:rPr>
          <w:lang w:val="fr-CA"/>
        </w:rPr>
      </w:pPr>
      <w:r w:rsidRPr="00694BDA">
        <w:lastRenderedPageBreak/>
        <w:t xml:space="preserve">The Centre for Community Organizations. (2019). “White Supremacy Culture in Organizations.” </w:t>
      </w:r>
      <w:r w:rsidRPr="00D836AC">
        <w:rPr>
          <w:lang w:val="fr-CA"/>
        </w:rPr>
        <w:t xml:space="preserve">COCO, Kira Page. </w:t>
      </w:r>
      <w:hyperlink r:id="rId18">
        <w:r w:rsidRPr="00D836AC">
          <w:rPr>
            <w:color w:val="1155CC"/>
            <w:u w:val="single"/>
            <w:lang w:val="fr-CA"/>
          </w:rPr>
          <w:t>https://coco-net.org/white-supremacy-culture-in-organizations/</w:t>
        </w:r>
      </w:hyperlink>
    </w:p>
    <w:p w14:paraId="6FF3F881" w14:textId="77777777" w:rsidR="00333C7A" w:rsidRPr="00694BDA" w:rsidRDefault="00333C7A" w:rsidP="00333C7A">
      <w:pPr>
        <w:spacing w:before="240" w:after="240"/>
      </w:pPr>
      <w:r w:rsidRPr="00694BDA">
        <w:t xml:space="preserve">The Centre for Community Organizations. (2020). “Tools for Addressing White Dominant Culture” COCO. </w:t>
      </w:r>
      <w:hyperlink r:id="rId19">
        <w:r w:rsidRPr="00694BDA">
          <w:rPr>
            <w:color w:val="1155CC"/>
            <w:u w:val="single"/>
          </w:rPr>
          <w:t>https://coco-net.org/Tools-for-addressing-white-supremacy-culture/</w:t>
        </w:r>
      </w:hyperlink>
      <w:r w:rsidRPr="00694BDA">
        <w:t xml:space="preserve"> </w:t>
      </w:r>
    </w:p>
    <w:p w14:paraId="7D915F80" w14:textId="77777777" w:rsidR="00333C7A" w:rsidRPr="00694BDA" w:rsidRDefault="00333C7A" w:rsidP="00333C7A">
      <w:pPr>
        <w:spacing w:before="240" w:after="240"/>
      </w:pPr>
      <w:r w:rsidRPr="00694BDA">
        <w:t xml:space="preserve">The Centre for Community Organizations. (2020). “Accessibility on Zoom.” COCO, Kira Page. </w:t>
      </w:r>
      <w:hyperlink r:id="rId20">
        <w:r w:rsidRPr="00694BDA">
          <w:rPr>
            <w:color w:val="1155CC"/>
            <w:u w:val="single"/>
          </w:rPr>
          <w:t>https://coco-net.org/accessibility-on-zoom/</w:t>
        </w:r>
      </w:hyperlink>
    </w:p>
    <w:p w14:paraId="54CFA51B" w14:textId="3FF02BFA" w:rsidR="00E06353" w:rsidRDefault="00333C7A" w:rsidP="00333C7A">
      <w:pPr>
        <w:shd w:val="clear" w:color="auto" w:fill="FFFFFF"/>
        <w:spacing w:after="380" w:line="312" w:lineRule="auto"/>
      </w:pPr>
      <w:r w:rsidRPr="00694BDA">
        <w:t xml:space="preserve">Truth and Reconciliation Commission of Canada (2015). </w:t>
      </w:r>
      <w:r w:rsidRPr="00694BDA">
        <w:rPr>
          <w:i/>
        </w:rPr>
        <w:t xml:space="preserve">Truth &amp; </w:t>
      </w:r>
      <w:r w:rsidR="00E06353">
        <w:rPr>
          <w:i/>
        </w:rPr>
        <w:t>R</w:t>
      </w:r>
      <w:r w:rsidRPr="00694BDA">
        <w:rPr>
          <w:i/>
        </w:rPr>
        <w:t>econciliation: Calls to Action</w:t>
      </w:r>
      <w:r w:rsidRPr="00694BDA">
        <w:t xml:space="preserve">. </w:t>
      </w:r>
      <w:hyperlink r:id="rId21" w:history="1">
        <w:r w:rsidR="00E06353" w:rsidRPr="00136CD3">
          <w:rPr>
            <w:rStyle w:val="Hyperlink"/>
          </w:rPr>
          <w:t>https://ehprnh2mwo3.exactdn.com/wp-content/uploads/2021/01/Calls_to_Action_English2.pdf</w:t>
        </w:r>
      </w:hyperlink>
    </w:p>
    <w:p w14:paraId="75472066" w14:textId="5CDB3326" w:rsidR="00E06353" w:rsidRDefault="00333C7A" w:rsidP="00E06353">
      <w:pPr>
        <w:spacing w:before="240" w:after="240"/>
      </w:pPr>
      <w:r w:rsidRPr="00694BDA">
        <w:t xml:space="preserve">United Nations. (2007). </w:t>
      </w:r>
      <w:r w:rsidRPr="00694BDA">
        <w:rPr>
          <w:i/>
        </w:rPr>
        <w:t>United Nations Declaration on the Rights of Indigenous Peoples.</w:t>
      </w:r>
      <w:r w:rsidRPr="00694BDA">
        <w:t xml:space="preserve"> </w:t>
      </w:r>
      <w:hyperlink r:id="rId22" w:history="1">
        <w:r w:rsidR="00E06353" w:rsidRPr="00136CD3">
          <w:rPr>
            <w:rStyle w:val="Hyperlink"/>
          </w:rPr>
          <w:t>https://www.un.org/development/desa/indigenouspeoples/wp-content/uploads/sites/19/2018/11/UNDRIP_E_web.pdf</w:t>
        </w:r>
      </w:hyperlink>
    </w:p>
    <w:p w14:paraId="1FD7A3E3" w14:textId="604616D7" w:rsidR="00333C7A" w:rsidRPr="00694BDA" w:rsidRDefault="00333C7A" w:rsidP="00E06353">
      <w:pPr>
        <w:spacing w:before="240" w:after="240"/>
        <w:rPr>
          <w:rStyle w:val="Hyperlink"/>
        </w:rPr>
      </w:pPr>
      <w:r w:rsidRPr="00694BDA">
        <w:t>University of Saskatchewan’s Workshop called “Practicing Anti-Racist Language” can be accessed asynchronously on their website</w:t>
      </w:r>
      <w:r w:rsidR="00E06353">
        <w:t>:</w:t>
      </w:r>
      <w:r w:rsidRPr="00694BDA">
        <w:t xml:space="preserve"> </w:t>
      </w:r>
      <w:hyperlink r:id="rId23" w:history="1">
        <w:r w:rsidRPr="00694BDA">
          <w:rPr>
            <w:rStyle w:val="Hyperlink"/>
          </w:rPr>
          <w:t>https://usask.cloud.panopto.eu/Panopto/Pages/Viewer.aspx?id=c62911b3-0a53-4c99-bd30-adcd015f17e1&amp;start=1.448648</w:t>
        </w:r>
      </w:hyperlink>
    </w:p>
    <w:p w14:paraId="2EB6F516" w14:textId="77777777" w:rsidR="00333C7A" w:rsidRPr="00694BDA" w:rsidRDefault="00333C7A" w:rsidP="00333C7A">
      <w:pPr>
        <w:shd w:val="clear" w:color="auto" w:fill="FFFFFF"/>
        <w:spacing w:after="380" w:line="312" w:lineRule="auto"/>
      </w:pPr>
    </w:p>
    <w:p w14:paraId="16F8FFF5" w14:textId="77777777" w:rsidR="00333C7A" w:rsidRPr="00333C7A" w:rsidRDefault="00333C7A" w:rsidP="009D0CBF"/>
    <w:p w14:paraId="07F50583" w14:textId="6B08F319" w:rsidR="00603D4B" w:rsidRPr="00183A28" w:rsidRDefault="00603D4B" w:rsidP="009D0CBF">
      <w:pPr>
        <w:rPr>
          <w:lang w:val="en-CA"/>
        </w:rPr>
      </w:pPr>
    </w:p>
    <w:p w14:paraId="516302D6" w14:textId="77777777" w:rsidR="00484247" w:rsidRPr="00183A28" w:rsidRDefault="00484247" w:rsidP="009D0CBF">
      <w:pPr>
        <w:rPr>
          <w:lang w:val="en-CA"/>
        </w:rPr>
      </w:pPr>
    </w:p>
    <w:p w14:paraId="2307FA22" w14:textId="77777777" w:rsidR="00603D4B" w:rsidRPr="00183A28" w:rsidRDefault="00603D4B" w:rsidP="009D0CBF">
      <w:pPr>
        <w:rPr>
          <w:lang w:val="en-CA"/>
        </w:rPr>
      </w:pPr>
    </w:p>
    <w:sectPr w:rsidR="00603D4B" w:rsidRPr="00183A28" w:rsidSect="006C395E">
      <w:footerReference w:type="default" r:id="rId24"/>
      <w:pgSz w:w="15840" w:h="12240" w:orient="landscape"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BA75" w14:textId="77777777" w:rsidR="00CB67BF" w:rsidRDefault="00CB67BF" w:rsidP="00706B7D">
      <w:r>
        <w:separator/>
      </w:r>
    </w:p>
  </w:endnote>
  <w:endnote w:type="continuationSeparator" w:id="0">
    <w:p w14:paraId="0081E0EB" w14:textId="77777777" w:rsidR="00CB67BF" w:rsidRDefault="00CB67BF" w:rsidP="0070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E248" w14:textId="77777777" w:rsidR="002508B8" w:rsidRPr="0006753B" w:rsidRDefault="002508B8" w:rsidP="002508B8">
    <w:pPr>
      <w:pStyle w:val="Footer"/>
      <w:framePr w:wrap="around" w:vAnchor="text" w:hAnchor="margin" w:xAlign="right" w:y="1"/>
      <w:rPr>
        <w:rStyle w:val="PageNumber"/>
        <w:rFonts w:asciiTheme="majorHAnsi" w:hAnsiTheme="majorHAnsi"/>
      </w:rPr>
    </w:pPr>
    <w:r w:rsidRPr="0006753B">
      <w:rPr>
        <w:rStyle w:val="PageNumber"/>
        <w:rFonts w:asciiTheme="majorHAnsi" w:hAnsiTheme="majorHAnsi"/>
      </w:rPr>
      <w:fldChar w:fldCharType="begin"/>
    </w:r>
    <w:r w:rsidRPr="0006753B">
      <w:rPr>
        <w:rStyle w:val="PageNumber"/>
        <w:rFonts w:asciiTheme="majorHAnsi" w:hAnsiTheme="majorHAnsi"/>
      </w:rPr>
      <w:instrText xml:space="preserve">PAGE  </w:instrText>
    </w:r>
    <w:r w:rsidRPr="0006753B">
      <w:rPr>
        <w:rStyle w:val="PageNumber"/>
        <w:rFonts w:asciiTheme="majorHAnsi" w:hAnsiTheme="majorHAnsi"/>
      </w:rPr>
      <w:fldChar w:fldCharType="separate"/>
    </w:r>
    <w:r>
      <w:rPr>
        <w:rStyle w:val="PageNumber"/>
        <w:rFonts w:asciiTheme="majorHAnsi" w:hAnsiTheme="majorHAnsi"/>
      </w:rPr>
      <w:t>5</w:t>
    </w:r>
    <w:r w:rsidRPr="0006753B">
      <w:rPr>
        <w:rStyle w:val="PageNumber"/>
        <w:rFonts w:asciiTheme="majorHAnsi" w:hAnsiTheme="majorHAnsi"/>
      </w:rPr>
      <w:fldChar w:fldCharType="end"/>
    </w:r>
  </w:p>
  <w:p w14:paraId="5BEAB258" w14:textId="5E73EEFB" w:rsidR="00560BE5" w:rsidRPr="002508B8" w:rsidRDefault="002508B8" w:rsidP="002508B8">
    <w:pPr>
      <w:pStyle w:val="Footer"/>
      <w:tabs>
        <w:tab w:val="clear" w:pos="4320"/>
        <w:tab w:val="clear" w:pos="8640"/>
        <w:tab w:val="right" w:pos="10440"/>
      </w:tabs>
      <w:ind w:left="-450" w:right="360"/>
      <w:jc w:val="center"/>
      <w:rPr>
        <w:position w:val="20"/>
      </w:rPr>
    </w:pPr>
    <w:r>
      <w:rPr>
        <w:rFonts w:ascii="Times New Roman" w:hAnsi="Times New Roman"/>
        <w:noProof/>
        <w:lang w:val="en-CA" w:eastAsia="en-CA"/>
      </w:rPr>
      <w:drawing>
        <wp:anchor distT="0" distB="0" distL="114300" distR="114300" simplePos="0" relativeHeight="251659264" behindDoc="0" locked="0" layoutInCell="1" allowOverlap="1" wp14:anchorId="148942E8" wp14:editId="70D86DA2">
          <wp:simplePos x="0" y="0"/>
          <wp:positionH relativeFrom="column">
            <wp:posOffset>-209550</wp:posOffset>
          </wp:positionH>
          <wp:positionV relativeFrom="paragraph">
            <wp:posOffset>-95885</wp:posOffset>
          </wp:positionV>
          <wp:extent cx="1403350" cy="647065"/>
          <wp:effectExtent l="0" t="0" r="6350" b="635"/>
          <wp:wrapNone/>
          <wp:docPr id="13" name="Picture 13"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470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libri" w:hAnsi="Calibri"/>
        <w:position w:val="50"/>
        <w:sz w:val="18"/>
      </w:rPr>
      <w:t xml:space="preserve">                                           © 202</w:t>
    </w:r>
    <w:r w:rsidR="007631E1">
      <w:rPr>
        <w:rFonts w:ascii="Calibri" w:hAnsi="Calibri"/>
        <w:position w:val="50"/>
        <w:sz w:val="18"/>
      </w:rPr>
      <w:t>3</w:t>
    </w:r>
    <w:r w:rsidRPr="007F4524">
      <w:rPr>
        <w:rFonts w:ascii="Calibri" w:hAnsi="Calibri"/>
        <w:position w:val="50"/>
        <w:sz w:val="18"/>
      </w:rPr>
      <w:t xml:space="preserve"> The Ontario Organizational Development Program (OODP)</w:t>
    </w:r>
    <w:r>
      <w:rPr>
        <w:rFonts w:ascii="Calibri" w:hAnsi="Calibri"/>
        <w:position w:val="5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99DE" w14:textId="77777777" w:rsidR="00CB67BF" w:rsidRDefault="00CB67BF" w:rsidP="00706B7D">
      <w:r>
        <w:separator/>
      </w:r>
    </w:p>
  </w:footnote>
  <w:footnote w:type="continuationSeparator" w:id="0">
    <w:p w14:paraId="561687B9" w14:textId="77777777" w:rsidR="00CB67BF" w:rsidRDefault="00CB67BF" w:rsidP="00706B7D">
      <w:r>
        <w:continuationSeparator/>
      </w:r>
    </w:p>
  </w:footnote>
  <w:footnote w:id="1">
    <w:p w14:paraId="5D4B37E8" w14:textId="292B33F3" w:rsidR="007631E1" w:rsidRDefault="007631E1" w:rsidP="007631E1">
      <w:pPr>
        <w:pStyle w:val="FootnoteText"/>
      </w:pPr>
      <w:r>
        <w:rPr>
          <w:rStyle w:val="FootnoteReference"/>
        </w:rPr>
        <w:footnoteRef/>
      </w:r>
      <w:r>
        <w:t xml:space="preserve"> </w:t>
      </w:r>
      <w:r w:rsidRPr="008D3636">
        <w:t>Simon Fraser University</w:t>
      </w:r>
      <w:r w:rsidR="00E06353">
        <w:t xml:space="preserve"> (2022).</w:t>
      </w:r>
      <w:r w:rsidRPr="008D3636">
        <w:t xml:space="preserve"> “Inclusive and Anti-Racist Writing Overview.” </w:t>
      </w:r>
      <w:hyperlink r:id="rId1" w:anchor=":~:text=About%20inclusive%20%26%20antiracist%20writing,-Inclusive%20and%20antiracist&amp;text=Exclusive%20language%20is%20often%20used,harmed%20through%20careless%20word%20choice" w:history="1">
        <w:r w:rsidRPr="008D3636">
          <w:rPr>
            <w:rStyle w:val="Hyperlink"/>
          </w:rPr>
          <w:t>https://www.lib.sfu.ca/about/branches-depts/slc/writing/inclusive-antiracist-writing#:~:text=About%20inclusive%20%26%20antiracist%20writing,-Inclusive%20and%20antiracist&amp;text=Exclusive%20language%20is%20often%20used,harmed%20through%20careless%20word%20choice</w:t>
        </w:r>
      </w:hyperlink>
      <w:r w:rsidRPr="008D3636">
        <w:t>.</w:t>
      </w:r>
    </w:p>
  </w:footnote>
  <w:footnote w:id="2">
    <w:p w14:paraId="1D21235C" w14:textId="07660998" w:rsidR="008A253B" w:rsidRDefault="008A253B">
      <w:pPr>
        <w:pStyle w:val="FootnoteText"/>
      </w:pPr>
      <w:r>
        <w:rPr>
          <w:rStyle w:val="FootnoteReference"/>
        </w:rPr>
        <w:footnoteRef/>
      </w:r>
      <w:r>
        <w:t xml:space="preserve"> Journal</w:t>
      </w:r>
      <w:r w:rsidR="00E06353">
        <w:t>ists for Human Rights</w:t>
      </w:r>
      <w:r>
        <w:t xml:space="preserve"> </w:t>
      </w:r>
      <w:r w:rsidR="00E06353">
        <w:t xml:space="preserve">(2017).  “Style Guide for Reporting on Indigenous People”. </w:t>
      </w:r>
      <w:hyperlink r:id="rId2" w:history="1">
        <w:r w:rsidR="00E06353" w:rsidRPr="00136CD3">
          <w:rPr>
            <w:rStyle w:val="Hyperlink"/>
          </w:rPr>
          <w:t>https://jhr.ca/wp-content/uploads/2017/12/JHR2017-Style-Book-Indigenous-People.pdf</w:t>
        </w:r>
      </w:hyperlink>
    </w:p>
  </w:footnote>
  <w:footnote w:id="3">
    <w:p w14:paraId="5C4B0C10" w14:textId="77777777" w:rsidR="00692648" w:rsidRPr="00D836AC" w:rsidRDefault="00692648" w:rsidP="00692648">
      <w:pPr>
        <w:pStyle w:val="FootnoteText"/>
        <w:rPr>
          <w:lang w:val="fr-CA"/>
        </w:rPr>
      </w:pPr>
      <w:r>
        <w:rPr>
          <w:rStyle w:val="FootnoteReference"/>
        </w:rPr>
        <w:footnoteRef/>
      </w:r>
      <w:r>
        <w:t xml:space="preserve"> Ward, Branch and Firdkin. “</w:t>
      </w:r>
      <w:r w:rsidRPr="00B82FAD">
        <w:t>What is Indigenous Cultural Safety—and Why Should I Care About It?</w:t>
      </w:r>
      <w:r>
        <w:t xml:space="preserve">” </w:t>
      </w:r>
      <w:r w:rsidRPr="00D836AC">
        <w:rPr>
          <w:lang w:val="fr-CA"/>
        </w:rPr>
        <w:t xml:space="preserve">Visions Journal, 2016. </w:t>
      </w:r>
      <w:r>
        <w:fldChar w:fldCharType="begin"/>
      </w:r>
      <w:r w:rsidRPr="00A4662B">
        <w:rPr>
          <w:lang w:val="fr-CA"/>
        </w:rPr>
        <w:instrText>HYPERLINK "https://www.heretohelp.bc.ca/visions/indigenous-people-vol11/what-indigenous-cultural-safety-and-why-should-i-care-about-it"</w:instrText>
      </w:r>
      <w:r>
        <w:fldChar w:fldCharType="separate"/>
      </w:r>
      <w:r w:rsidRPr="00D836AC">
        <w:rPr>
          <w:rStyle w:val="Hyperlink"/>
          <w:lang w:val="fr-CA"/>
        </w:rPr>
        <w:t>https://www.heretohelp.bc.ca/visions/indigenous-people-vol11/what-indigenous-cultural-safety-and-why-should-i-care-about-it</w:t>
      </w:r>
      <w:r>
        <w:fldChar w:fldCharType="end"/>
      </w:r>
      <w:r w:rsidRPr="00D836AC">
        <w:rPr>
          <w:lang w:val="fr-CA"/>
        </w:rPr>
        <w:t xml:space="preserve"> </w:t>
      </w:r>
    </w:p>
    <w:p w14:paraId="461AAB63" w14:textId="77777777" w:rsidR="00692648" w:rsidRPr="00D836AC" w:rsidRDefault="00692648" w:rsidP="00692648">
      <w:pPr>
        <w:pStyle w:val="FootnoteText"/>
        <w:rPr>
          <w:lang w:val="fr-CA"/>
        </w:rPr>
      </w:pPr>
    </w:p>
  </w:footnote>
  <w:footnote w:id="4">
    <w:p w14:paraId="082DCC2F" w14:textId="77777777" w:rsidR="00692648" w:rsidRPr="00694BDA" w:rsidRDefault="00692648" w:rsidP="00692648">
      <w:pPr>
        <w:rPr>
          <w:rFonts w:cstheme="minorHAnsi"/>
          <w:color w:val="000000"/>
          <w:sz w:val="20"/>
          <w:szCs w:val="20"/>
        </w:rPr>
      </w:pPr>
      <w:r>
        <w:rPr>
          <w:rStyle w:val="FootnoteReference"/>
        </w:rPr>
        <w:footnoteRef/>
      </w:r>
      <w:r>
        <w:t xml:space="preserve"> </w:t>
      </w:r>
      <w:r w:rsidRPr="00C50BA0">
        <w:rPr>
          <w:sz w:val="18"/>
          <w:szCs w:val="18"/>
        </w:rPr>
        <w:t>The concept of intersectionality describes the ways in which systems of inequality based on gender, race, ethnicity, sexual orientation, gender identity, disability, class and other forms of discrimination “intersect” to create unique dynamics and effects. All forms of inequality are mutually reinforcing and must therefore be considered together to prevent one form of inequality from reinforcing another. For example, exploring the gender pay gap – without considering how other dimensions such as race, socio-economic status and immigration status – will likely reinforce inequalities among women.</w:t>
      </w:r>
      <w:r w:rsidRPr="00C50BA0">
        <w:rPr>
          <w:rFonts w:cstheme="minorHAnsi"/>
          <w:sz w:val="18"/>
          <w:szCs w:val="18"/>
        </w:rPr>
        <w:t xml:space="preserve"> It is not possible to do anti-</w:t>
      </w:r>
      <w:r w:rsidRPr="00694BDA">
        <w:rPr>
          <w:rFonts w:cstheme="minorHAnsi"/>
          <w:sz w:val="20"/>
          <w:szCs w:val="20"/>
        </w:rPr>
        <w:t xml:space="preserve">racist work in the HIV sector without thinking about people who are </w:t>
      </w:r>
      <w:r w:rsidRPr="00694BDA">
        <w:rPr>
          <w:rFonts w:cstheme="minorHAnsi"/>
          <w:color w:val="000000"/>
          <w:sz w:val="20"/>
          <w:szCs w:val="20"/>
        </w:rPr>
        <w:t>living at these intersections of identity and how they experience the world as well as their access to HIV support and care.</w:t>
      </w:r>
    </w:p>
    <w:p w14:paraId="5FFEEB08" w14:textId="77777777" w:rsidR="00692648" w:rsidRPr="00694BDA" w:rsidRDefault="00692648" w:rsidP="0069264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098B"/>
    <w:multiLevelType w:val="hybridMultilevel"/>
    <w:tmpl w:val="78CED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64751F"/>
    <w:multiLevelType w:val="hybridMultilevel"/>
    <w:tmpl w:val="6366C114"/>
    <w:lvl w:ilvl="0" w:tplc="A0DA6530">
      <w:start w:val="1"/>
      <w:numFmt w:val="decimal"/>
      <w:pStyle w:val="TOC1"/>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80239FF"/>
    <w:multiLevelType w:val="hybridMultilevel"/>
    <w:tmpl w:val="61124F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59435676">
    <w:abstractNumId w:val="1"/>
  </w:num>
  <w:num w:numId="2" w16cid:durableId="1457605591">
    <w:abstractNumId w:val="0"/>
  </w:num>
  <w:num w:numId="3" w16cid:durableId="134350913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77"/>
    <w:rsid w:val="0000667E"/>
    <w:rsid w:val="00006AA7"/>
    <w:rsid w:val="00010EA7"/>
    <w:rsid w:val="00010F93"/>
    <w:rsid w:val="000235DD"/>
    <w:rsid w:val="00024EA9"/>
    <w:rsid w:val="000250F0"/>
    <w:rsid w:val="0003056D"/>
    <w:rsid w:val="00030E28"/>
    <w:rsid w:val="00033CB0"/>
    <w:rsid w:val="00035868"/>
    <w:rsid w:val="00035A22"/>
    <w:rsid w:val="000422B6"/>
    <w:rsid w:val="00046326"/>
    <w:rsid w:val="00050B59"/>
    <w:rsid w:val="00050D46"/>
    <w:rsid w:val="00050F73"/>
    <w:rsid w:val="00055B09"/>
    <w:rsid w:val="00055F94"/>
    <w:rsid w:val="00056994"/>
    <w:rsid w:val="00062AF6"/>
    <w:rsid w:val="00063A7D"/>
    <w:rsid w:val="00063DBE"/>
    <w:rsid w:val="00064C39"/>
    <w:rsid w:val="000674D5"/>
    <w:rsid w:val="00072E93"/>
    <w:rsid w:val="00074986"/>
    <w:rsid w:val="000769BF"/>
    <w:rsid w:val="00084DDF"/>
    <w:rsid w:val="000921B4"/>
    <w:rsid w:val="00092D37"/>
    <w:rsid w:val="0009454F"/>
    <w:rsid w:val="00097F29"/>
    <w:rsid w:val="000A40DF"/>
    <w:rsid w:val="000A4757"/>
    <w:rsid w:val="000A58E2"/>
    <w:rsid w:val="000A6077"/>
    <w:rsid w:val="000A6685"/>
    <w:rsid w:val="000A68EA"/>
    <w:rsid w:val="000B01CB"/>
    <w:rsid w:val="000B3178"/>
    <w:rsid w:val="000B7CD6"/>
    <w:rsid w:val="000C1797"/>
    <w:rsid w:val="000C1D78"/>
    <w:rsid w:val="000C2EB4"/>
    <w:rsid w:val="000C3747"/>
    <w:rsid w:val="000D1983"/>
    <w:rsid w:val="000D30FE"/>
    <w:rsid w:val="000D43D2"/>
    <w:rsid w:val="000D7B52"/>
    <w:rsid w:val="000E0F6E"/>
    <w:rsid w:val="000E3B91"/>
    <w:rsid w:val="000F015B"/>
    <w:rsid w:val="000F09CB"/>
    <w:rsid w:val="000F1DB4"/>
    <w:rsid w:val="000F4A9E"/>
    <w:rsid w:val="000F6AFC"/>
    <w:rsid w:val="00101810"/>
    <w:rsid w:val="00106BCF"/>
    <w:rsid w:val="00111205"/>
    <w:rsid w:val="00114480"/>
    <w:rsid w:val="00114586"/>
    <w:rsid w:val="0011468C"/>
    <w:rsid w:val="00114855"/>
    <w:rsid w:val="001212A1"/>
    <w:rsid w:val="00123353"/>
    <w:rsid w:val="00124041"/>
    <w:rsid w:val="00125F51"/>
    <w:rsid w:val="001420BA"/>
    <w:rsid w:val="00142133"/>
    <w:rsid w:val="001426BE"/>
    <w:rsid w:val="00144D99"/>
    <w:rsid w:val="00145971"/>
    <w:rsid w:val="00146B3D"/>
    <w:rsid w:val="0014724C"/>
    <w:rsid w:val="00150810"/>
    <w:rsid w:val="00154F5D"/>
    <w:rsid w:val="00155DC4"/>
    <w:rsid w:val="00160829"/>
    <w:rsid w:val="0016466F"/>
    <w:rsid w:val="00166D5C"/>
    <w:rsid w:val="001704AC"/>
    <w:rsid w:val="00171912"/>
    <w:rsid w:val="001825A7"/>
    <w:rsid w:val="00182B78"/>
    <w:rsid w:val="00183933"/>
    <w:rsid w:val="00183A28"/>
    <w:rsid w:val="00187F07"/>
    <w:rsid w:val="001920E3"/>
    <w:rsid w:val="00192E22"/>
    <w:rsid w:val="001A07B2"/>
    <w:rsid w:val="001A2925"/>
    <w:rsid w:val="001A3832"/>
    <w:rsid w:val="001A3B40"/>
    <w:rsid w:val="001A5146"/>
    <w:rsid w:val="001A52CF"/>
    <w:rsid w:val="001A569E"/>
    <w:rsid w:val="001B2A05"/>
    <w:rsid w:val="001B3280"/>
    <w:rsid w:val="001B66AF"/>
    <w:rsid w:val="001B6CB2"/>
    <w:rsid w:val="001C018C"/>
    <w:rsid w:val="001C21E8"/>
    <w:rsid w:val="001C27D9"/>
    <w:rsid w:val="001C2849"/>
    <w:rsid w:val="001C3993"/>
    <w:rsid w:val="001D3A52"/>
    <w:rsid w:val="001D42F0"/>
    <w:rsid w:val="001D4D50"/>
    <w:rsid w:val="001D69E3"/>
    <w:rsid w:val="001E0F35"/>
    <w:rsid w:val="001E0F50"/>
    <w:rsid w:val="001E2297"/>
    <w:rsid w:val="001E6197"/>
    <w:rsid w:val="001F1E97"/>
    <w:rsid w:val="001F4CF4"/>
    <w:rsid w:val="001F7AD5"/>
    <w:rsid w:val="00201F15"/>
    <w:rsid w:val="00202FC2"/>
    <w:rsid w:val="002061E4"/>
    <w:rsid w:val="00206380"/>
    <w:rsid w:val="00207324"/>
    <w:rsid w:val="00215070"/>
    <w:rsid w:val="00217FD1"/>
    <w:rsid w:val="00222504"/>
    <w:rsid w:val="0022250F"/>
    <w:rsid w:val="002229F5"/>
    <w:rsid w:val="00223F7A"/>
    <w:rsid w:val="002255D6"/>
    <w:rsid w:val="002260DA"/>
    <w:rsid w:val="00232894"/>
    <w:rsid w:val="00234CDC"/>
    <w:rsid w:val="00237C57"/>
    <w:rsid w:val="0024495A"/>
    <w:rsid w:val="00244D50"/>
    <w:rsid w:val="002508B8"/>
    <w:rsid w:val="00252606"/>
    <w:rsid w:val="002533E7"/>
    <w:rsid w:val="002539C2"/>
    <w:rsid w:val="0026139F"/>
    <w:rsid w:val="0026200B"/>
    <w:rsid w:val="002620C9"/>
    <w:rsid w:val="00262285"/>
    <w:rsid w:val="0026236C"/>
    <w:rsid w:val="0026479E"/>
    <w:rsid w:val="00265F85"/>
    <w:rsid w:val="00266D1C"/>
    <w:rsid w:val="00270E88"/>
    <w:rsid w:val="00274130"/>
    <w:rsid w:val="002745FD"/>
    <w:rsid w:val="00275005"/>
    <w:rsid w:val="002828E7"/>
    <w:rsid w:val="002829AC"/>
    <w:rsid w:val="00284E53"/>
    <w:rsid w:val="00287FF7"/>
    <w:rsid w:val="00291326"/>
    <w:rsid w:val="00291A5D"/>
    <w:rsid w:val="00293689"/>
    <w:rsid w:val="0029580C"/>
    <w:rsid w:val="0029797D"/>
    <w:rsid w:val="00297E92"/>
    <w:rsid w:val="002A10F3"/>
    <w:rsid w:val="002A13B4"/>
    <w:rsid w:val="002A1A6A"/>
    <w:rsid w:val="002A2660"/>
    <w:rsid w:val="002A4DC7"/>
    <w:rsid w:val="002A51C8"/>
    <w:rsid w:val="002B22A6"/>
    <w:rsid w:val="002B393E"/>
    <w:rsid w:val="002B611A"/>
    <w:rsid w:val="002C14BF"/>
    <w:rsid w:val="002C1E27"/>
    <w:rsid w:val="002C62C2"/>
    <w:rsid w:val="002D563F"/>
    <w:rsid w:val="002E4099"/>
    <w:rsid w:val="002E4512"/>
    <w:rsid w:val="002E4651"/>
    <w:rsid w:val="002E47CF"/>
    <w:rsid w:val="002F0218"/>
    <w:rsid w:val="002F0438"/>
    <w:rsid w:val="002F10B2"/>
    <w:rsid w:val="002F3264"/>
    <w:rsid w:val="00300F78"/>
    <w:rsid w:val="003011C2"/>
    <w:rsid w:val="00301C11"/>
    <w:rsid w:val="00302973"/>
    <w:rsid w:val="00305B14"/>
    <w:rsid w:val="00310A28"/>
    <w:rsid w:val="003110AB"/>
    <w:rsid w:val="00314F97"/>
    <w:rsid w:val="003173C6"/>
    <w:rsid w:val="0032053B"/>
    <w:rsid w:val="00323B04"/>
    <w:rsid w:val="00330843"/>
    <w:rsid w:val="00333C7A"/>
    <w:rsid w:val="00337B36"/>
    <w:rsid w:val="0034222E"/>
    <w:rsid w:val="00342489"/>
    <w:rsid w:val="003506AC"/>
    <w:rsid w:val="003534B4"/>
    <w:rsid w:val="00354F49"/>
    <w:rsid w:val="003569DC"/>
    <w:rsid w:val="0036138A"/>
    <w:rsid w:val="003626F4"/>
    <w:rsid w:val="0036471D"/>
    <w:rsid w:val="003647F7"/>
    <w:rsid w:val="00366BF2"/>
    <w:rsid w:val="00373721"/>
    <w:rsid w:val="00382944"/>
    <w:rsid w:val="003865C2"/>
    <w:rsid w:val="00387556"/>
    <w:rsid w:val="00387DF0"/>
    <w:rsid w:val="00390AAF"/>
    <w:rsid w:val="00392324"/>
    <w:rsid w:val="003928C1"/>
    <w:rsid w:val="003946CB"/>
    <w:rsid w:val="0039617D"/>
    <w:rsid w:val="00397896"/>
    <w:rsid w:val="003A2F7D"/>
    <w:rsid w:val="003A3339"/>
    <w:rsid w:val="003A4F8B"/>
    <w:rsid w:val="003A5B57"/>
    <w:rsid w:val="003A5D2D"/>
    <w:rsid w:val="003B0C39"/>
    <w:rsid w:val="003B25DF"/>
    <w:rsid w:val="003B5A90"/>
    <w:rsid w:val="003B7B8F"/>
    <w:rsid w:val="003C2840"/>
    <w:rsid w:val="003C4B1D"/>
    <w:rsid w:val="003C6771"/>
    <w:rsid w:val="003D0890"/>
    <w:rsid w:val="003D0F82"/>
    <w:rsid w:val="003D148B"/>
    <w:rsid w:val="003E0062"/>
    <w:rsid w:val="003E0295"/>
    <w:rsid w:val="003E0299"/>
    <w:rsid w:val="003E1222"/>
    <w:rsid w:val="003E147C"/>
    <w:rsid w:val="003E3F1B"/>
    <w:rsid w:val="003F3640"/>
    <w:rsid w:val="00400720"/>
    <w:rsid w:val="0040105E"/>
    <w:rsid w:val="004010C5"/>
    <w:rsid w:val="00402FBD"/>
    <w:rsid w:val="00404DA2"/>
    <w:rsid w:val="004053EF"/>
    <w:rsid w:val="004116A7"/>
    <w:rsid w:val="00411C3B"/>
    <w:rsid w:val="00412D49"/>
    <w:rsid w:val="00413B97"/>
    <w:rsid w:val="00425CC4"/>
    <w:rsid w:val="004265C7"/>
    <w:rsid w:val="00430AAC"/>
    <w:rsid w:val="00435F73"/>
    <w:rsid w:val="00441042"/>
    <w:rsid w:val="00443D17"/>
    <w:rsid w:val="00446295"/>
    <w:rsid w:val="00446F08"/>
    <w:rsid w:val="004509C5"/>
    <w:rsid w:val="00454F83"/>
    <w:rsid w:val="00455AA1"/>
    <w:rsid w:val="004564D7"/>
    <w:rsid w:val="004610FC"/>
    <w:rsid w:val="004611A2"/>
    <w:rsid w:val="00463056"/>
    <w:rsid w:val="00464B9C"/>
    <w:rsid w:val="00464EEA"/>
    <w:rsid w:val="0046633D"/>
    <w:rsid w:val="004716CD"/>
    <w:rsid w:val="004726EC"/>
    <w:rsid w:val="00473FB5"/>
    <w:rsid w:val="0047406E"/>
    <w:rsid w:val="004742C1"/>
    <w:rsid w:val="00474470"/>
    <w:rsid w:val="0048323D"/>
    <w:rsid w:val="00484247"/>
    <w:rsid w:val="00485137"/>
    <w:rsid w:val="0049094D"/>
    <w:rsid w:val="00494325"/>
    <w:rsid w:val="00494914"/>
    <w:rsid w:val="004A1562"/>
    <w:rsid w:val="004A2D7D"/>
    <w:rsid w:val="004A5DD6"/>
    <w:rsid w:val="004A7B49"/>
    <w:rsid w:val="004B054A"/>
    <w:rsid w:val="004B2C6F"/>
    <w:rsid w:val="004C19F6"/>
    <w:rsid w:val="004C1BB7"/>
    <w:rsid w:val="004C4829"/>
    <w:rsid w:val="004C4C22"/>
    <w:rsid w:val="004C71C9"/>
    <w:rsid w:val="004C781A"/>
    <w:rsid w:val="004D103B"/>
    <w:rsid w:val="004D1BCF"/>
    <w:rsid w:val="004D3B29"/>
    <w:rsid w:val="004D6926"/>
    <w:rsid w:val="004D7CB2"/>
    <w:rsid w:val="004E0D1B"/>
    <w:rsid w:val="004E585F"/>
    <w:rsid w:val="004F4CC7"/>
    <w:rsid w:val="004F51FA"/>
    <w:rsid w:val="004F53E2"/>
    <w:rsid w:val="004F63E9"/>
    <w:rsid w:val="004F73AE"/>
    <w:rsid w:val="004F7D99"/>
    <w:rsid w:val="00500D2E"/>
    <w:rsid w:val="00503ED7"/>
    <w:rsid w:val="00504B8E"/>
    <w:rsid w:val="0050763D"/>
    <w:rsid w:val="00510E4E"/>
    <w:rsid w:val="0051206A"/>
    <w:rsid w:val="005121AA"/>
    <w:rsid w:val="00512567"/>
    <w:rsid w:val="00514EE5"/>
    <w:rsid w:val="00516BF8"/>
    <w:rsid w:val="00516E7F"/>
    <w:rsid w:val="005229A4"/>
    <w:rsid w:val="00523ACA"/>
    <w:rsid w:val="00526140"/>
    <w:rsid w:val="00535080"/>
    <w:rsid w:val="0053579C"/>
    <w:rsid w:val="00537FA1"/>
    <w:rsid w:val="005418CC"/>
    <w:rsid w:val="005423CC"/>
    <w:rsid w:val="00545C31"/>
    <w:rsid w:val="0055316E"/>
    <w:rsid w:val="005545EA"/>
    <w:rsid w:val="00555B34"/>
    <w:rsid w:val="00556CC2"/>
    <w:rsid w:val="005570D9"/>
    <w:rsid w:val="00560BE5"/>
    <w:rsid w:val="00567EEC"/>
    <w:rsid w:val="00570CC0"/>
    <w:rsid w:val="00570F4E"/>
    <w:rsid w:val="00574844"/>
    <w:rsid w:val="0057489B"/>
    <w:rsid w:val="00574C8C"/>
    <w:rsid w:val="00580B47"/>
    <w:rsid w:val="0058210E"/>
    <w:rsid w:val="00584EAD"/>
    <w:rsid w:val="00587012"/>
    <w:rsid w:val="005A24FD"/>
    <w:rsid w:val="005A45F6"/>
    <w:rsid w:val="005A5B5C"/>
    <w:rsid w:val="005A64DD"/>
    <w:rsid w:val="005A7EB3"/>
    <w:rsid w:val="005B36A8"/>
    <w:rsid w:val="005C145F"/>
    <w:rsid w:val="005C2088"/>
    <w:rsid w:val="005C3F45"/>
    <w:rsid w:val="005C6E1D"/>
    <w:rsid w:val="005D4B8D"/>
    <w:rsid w:val="005E3BB6"/>
    <w:rsid w:val="005E3BE8"/>
    <w:rsid w:val="005E4408"/>
    <w:rsid w:val="00600EE9"/>
    <w:rsid w:val="00603795"/>
    <w:rsid w:val="00603D4B"/>
    <w:rsid w:val="0060600C"/>
    <w:rsid w:val="00607A2D"/>
    <w:rsid w:val="006105D4"/>
    <w:rsid w:val="00611420"/>
    <w:rsid w:val="00611C2A"/>
    <w:rsid w:val="00620149"/>
    <w:rsid w:val="0062036E"/>
    <w:rsid w:val="00621B2C"/>
    <w:rsid w:val="00630957"/>
    <w:rsid w:val="006326DE"/>
    <w:rsid w:val="00634085"/>
    <w:rsid w:val="00634119"/>
    <w:rsid w:val="00634ABE"/>
    <w:rsid w:val="00636F22"/>
    <w:rsid w:val="006423E3"/>
    <w:rsid w:val="006459E3"/>
    <w:rsid w:val="0065261F"/>
    <w:rsid w:val="00657877"/>
    <w:rsid w:val="0066010B"/>
    <w:rsid w:val="00664380"/>
    <w:rsid w:val="006649CD"/>
    <w:rsid w:val="0066680C"/>
    <w:rsid w:val="0067041E"/>
    <w:rsid w:val="00674975"/>
    <w:rsid w:val="006804FB"/>
    <w:rsid w:val="006827DC"/>
    <w:rsid w:val="006828FD"/>
    <w:rsid w:val="00684C37"/>
    <w:rsid w:val="00692648"/>
    <w:rsid w:val="00692CFC"/>
    <w:rsid w:val="0069317D"/>
    <w:rsid w:val="006945F9"/>
    <w:rsid w:val="00694EF3"/>
    <w:rsid w:val="006950A0"/>
    <w:rsid w:val="006A1814"/>
    <w:rsid w:val="006A1E30"/>
    <w:rsid w:val="006A62B2"/>
    <w:rsid w:val="006A6940"/>
    <w:rsid w:val="006A6A50"/>
    <w:rsid w:val="006B0FAC"/>
    <w:rsid w:val="006B4387"/>
    <w:rsid w:val="006C276B"/>
    <w:rsid w:val="006C35D2"/>
    <w:rsid w:val="006C395E"/>
    <w:rsid w:val="006D10C7"/>
    <w:rsid w:val="006D6732"/>
    <w:rsid w:val="006E18AB"/>
    <w:rsid w:val="006E4EE0"/>
    <w:rsid w:val="006E67C2"/>
    <w:rsid w:val="006E7809"/>
    <w:rsid w:val="006E796E"/>
    <w:rsid w:val="006F43E3"/>
    <w:rsid w:val="006F78D4"/>
    <w:rsid w:val="00701757"/>
    <w:rsid w:val="007020B7"/>
    <w:rsid w:val="007033E2"/>
    <w:rsid w:val="00706B7D"/>
    <w:rsid w:val="00706C97"/>
    <w:rsid w:val="00706FDA"/>
    <w:rsid w:val="00707657"/>
    <w:rsid w:val="00711F85"/>
    <w:rsid w:val="007135FB"/>
    <w:rsid w:val="00713E88"/>
    <w:rsid w:val="00722AC8"/>
    <w:rsid w:val="0072354A"/>
    <w:rsid w:val="0073115E"/>
    <w:rsid w:val="00731E4B"/>
    <w:rsid w:val="00740AEF"/>
    <w:rsid w:val="00743C04"/>
    <w:rsid w:val="00743CB9"/>
    <w:rsid w:val="00744D67"/>
    <w:rsid w:val="007565E3"/>
    <w:rsid w:val="00756DA1"/>
    <w:rsid w:val="00760D7C"/>
    <w:rsid w:val="00762A48"/>
    <w:rsid w:val="00762FAB"/>
    <w:rsid w:val="007631E1"/>
    <w:rsid w:val="00764E70"/>
    <w:rsid w:val="00771D19"/>
    <w:rsid w:val="007750A2"/>
    <w:rsid w:val="007809AC"/>
    <w:rsid w:val="007809CA"/>
    <w:rsid w:val="00791334"/>
    <w:rsid w:val="007A018E"/>
    <w:rsid w:val="007A0EC5"/>
    <w:rsid w:val="007A291C"/>
    <w:rsid w:val="007A4A18"/>
    <w:rsid w:val="007A7662"/>
    <w:rsid w:val="007C2368"/>
    <w:rsid w:val="007C2E5A"/>
    <w:rsid w:val="007C5852"/>
    <w:rsid w:val="007C61D9"/>
    <w:rsid w:val="007D0510"/>
    <w:rsid w:val="007D5614"/>
    <w:rsid w:val="007D5BB1"/>
    <w:rsid w:val="007D637E"/>
    <w:rsid w:val="007E1000"/>
    <w:rsid w:val="007E1C91"/>
    <w:rsid w:val="007E2B22"/>
    <w:rsid w:val="007F01C2"/>
    <w:rsid w:val="007F0F97"/>
    <w:rsid w:val="007F2B47"/>
    <w:rsid w:val="007F60C4"/>
    <w:rsid w:val="00800D4F"/>
    <w:rsid w:val="0081054D"/>
    <w:rsid w:val="008122B5"/>
    <w:rsid w:val="00812FD8"/>
    <w:rsid w:val="00813C9F"/>
    <w:rsid w:val="00815701"/>
    <w:rsid w:val="00815F4B"/>
    <w:rsid w:val="00817709"/>
    <w:rsid w:val="00823D8D"/>
    <w:rsid w:val="00825C54"/>
    <w:rsid w:val="00827104"/>
    <w:rsid w:val="00830306"/>
    <w:rsid w:val="00830741"/>
    <w:rsid w:val="008326A0"/>
    <w:rsid w:val="00832A61"/>
    <w:rsid w:val="00835A5E"/>
    <w:rsid w:val="00836C88"/>
    <w:rsid w:val="00841E04"/>
    <w:rsid w:val="008447B5"/>
    <w:rsid w:val="00845003"/>
    <w:rsid w:val="008512E3"/>
    <w:rsid w:val="00856B44"/>
    <w:rsid w:val="00865D49"/>
    <w:rsid w:val="00866B47"/>
    <w:rsid w:val="00874662"/>
    <w:rsid w:val="00882A9A"/>
    <w:rsid w:val="00883AF7"/>
    <w:rsid w:val="0088408A"/>
    <w:rsid w:val="00885497"/>
    <w:rsid w:val="0088646C"/>
    <w:rsid w:val="008871BF"/>
    <w:rsid w:val="00890F9F"/>
    <w:rsid w:val="008910D7"/>
    <w:rsid w:val="008913C2"/>
    <w:rsid w:val="0089316D"/>
    <w:rsid w:val="008A253B"/>
    <w:rsid w:val="008A425A"/>
    <w:rsid w:val="008B16A6"/>
    <w:rsid w:val="008B19C1"/>
    <w:rsid w:val="008B2FB9"/>
    <w:rsid w:val="008C0C88"/>
    <w:rsid w:val="008C1145"/>
    <w:rsid w:val="008C4884"/>
    <w:rsid w:val="008C48F3"/>
    <w:rsid w:val="008D1B3A"/>
    <w:rsid w:val="008E0E94"/>
    <w:rsid w:val="008E1BAD"/>
    <w:rsid w:val="008E3CB4"/>
    <w:rsid w:val="008E4368"/>
    <w:rsid w:val="008E4DA1"/>
    <w:rsid w:val="008E648B"/>
    <w:rsid w:val="008F117A"/>
    <w:rsid w:val="008F3687"/>
    <w:rsid w:val="008F68C7"/>
    <w:rsid w:val="008F6A91"/>
    <w:rsid w:val="00900A6B"/>
    <w:rsid w:val="009017AC"/>
    <w:rsid w:val="0090490C"/>
    <w:rsid w:val="00905C54"/>
    <w:rsid w:val="00907DFB"/>
    <w:rsid w:val="0091746F"/>
    <w:rsid w:val="00920CC2"/>
    <w:rsid w:val="00927209"/>
    <w:rsid w:val="0093069B"/>
    <w:rsid w:val="009333E3"/>
    <w:rsid w:val="00935392"/>
    <w:rsid w:val="00935FB6"/>
    <w:rsid w:val="0094076D"/>
    <w:rsid w:val="00943A31"/>
    <w:rsid w:val="009449D3"/>
    <w:rsid w:val="00945323"/>
    <w:rsid w:val="00945A04"/>
    <w:rsid w:val="00946F44"/>
    <w:rsid w:val="0094721D"/>
    <w:rsid w:val="00947A92"/>
    <w:rsid w:val="00947F9A"/>
    <w:rsid w:val="00950044"/>
    <w:rsid w:val="00950BEC"/>
    <w:rsid w:val="00953735"/>
    <w:rsid w:val="00953906"/>
    <w:rsid w:val="00953CCF"/>
    <w:rsid w:val="00955A81"/>
    <w:rsid w:val="009567CD"/>
    <w:rsid w:val="009648F7"/>
    <w:rsid w:val="009727B9"/>
    <w:rsid w:val="00973685"/>
    <w:rsid w:val="00973824"/>
    <w:rsid w:val="00974B3B"/>
    <w:rsid w:val="00977F18"/>
    <w:rsid w:val="00977F7C"/>
    <w:rsid w:val="009804BC"/>
    <w:rsid w:val="00991D9D"/>
    <w:rsid w:val="0099722D"/>
    <w:rsid w:val="009A126D"/>
    <w:rsid w:val="009A29B6"/>
    <w:rsid w:val="009A2C81"/>
    <w:rsid w:val="009A542F"/>
    <w:rsid w:val="009A7F76"/>
    <w:rsid w:val="009B172B"/>
    <w:rsid w:val="009B398B"/>
    <w:rsid w:val="009B4CFB"/>
    <w:rsid w:val="009C3D1A"/>
    <w:rsid w:val="009C5E21"/>
    <w:rsid w:val="009C5E30"/>
    <w:rsid w:val="009C7ED6"/>
    <w:rsid w:val="009D0CBF"/>
    <w:rsid w:val="009D1818"/>
    <w:rsid w:val="009D20A9"/>
    <w:rsid w:val="009D2BAD"/>
    <w:rsid w:val="009D47A1"/>
    <w:rsid w:val="009D4BBD"/>
    <w:rsid w:val="009D7478"/>
    <w:rsid w:val="009E74DD"/>
    <w:rsid w:val="009F0680"/>
    <w:rsid w:val="009F1CD7"/>
    <w:rsid w:val="009F252A"/>
    <w:rsid w:val="009F4C20"/>
    <w:rsid w:val="009F7448"/>
    <w:rsid w:val="00A01065"/>
    <w:rsid w:val="00A115F0"/>
    <w:rsid w:val="00A22CF0"/>
    <w:rsid w:val="00A24938"/>
    <w:rsid w:val="00A24FF3"/>
    <w:rsid w:val="00A2698C"/>
    <w:rsid w:val="00A3154F"/>
    <w:rsid w:val="00A31AE1"/>
    <w:rsid w:val="00A325FE"/>
    <w:rsid w:val="00A32C55"/>
    <w:rsid w:val="00A35741"/>
    <w:rsid w:val="00A41A2B"/>
    <w:rsid w:val="00A451A9"/>
    <w:rsid w:val="00A4662B"/>
    <w:rsid w:val="00A47A2F"/>
    <w:rsid w:val="00A53C68"/>
    <w:rsid w:val="00A60D38"/>
    <w:rsid w:val="00A62FD3"/>
    <w:rsid w:val="00A64826"/>
    <w:rsid w:val="00A65E6B"/>
    <w:rsid w:val="00A70B7A"/>
    <w:rsid w:val="00A712C0"/>
    <w:rsid w:val="00A73B30"/>
    <w:rsid w:val="00A74969"/>
    <w:rsid w:val="00A75673"/>
    <w:rsid w:val="00A7597B"/>
    <w:rsid w:val="00A7621D"/>
    <w:rsid w:val="00A8205A"/>
    <w:rsid w:val="00A9208F"/>
    <w:rsid w:val="00A937CD"/>
    <w:rsid w:val="00A9593B"/>
    <w:rsid w:val="00AA3FF1"/>
    <w:rsid w:val="00AB2BEF"/>
    <w:rsid w:val="00AB3821"/>
    <w:rsid w:val="00AB7CA8"/>
    <w:rsid w:val="00AC080C"/>
    <w:rsid w:val="00AC344E"/>
    <w:rsid w:val="00AC585C"/>
    <w:rsid w:val="00AC6BEB"/>
    <w:rsid w:val="00AC7206"/>
    <w:rsid w:val="00AD1599"/>
    <w:rsid w:val="00AD248F"/>
    <w:rsid w:val="00AD5649"/>
    <w:rsid w:val="00AF2F50"/>
    <w:rsid w:val="00AF315C"/>
    <w:rsid w:val="00AF56C6"/>
    <w:rsid w:val="00AF7C9D"/>
    <w:rsid w:val="00B02B9B"/>
    <w:rsid w:val="00B05290"/>
    <w:rsid w:val="00B10F5E"/>
    <w:rsid w:val="00B1607E"/>
    <w:rsid w:val="00B1696A"/>
    <w:rsid w:val="00B21126"/>
    <w:rsid w:val="00B216A1"/>
    <w:rsid w:val="00B23746"/>
    <w:rsid w:val="00B24748"/>
    <w:rsid w:val="00B302EF"/>
    <w:rsid w:val="00B30A9B"/>
    <w:rsid w:val="00B314A8"/>
    <w:rsid w:val="00B326D9"/>
    <w:rsid w:val="00B34137"/>
    <w:rsid w:val="00B3745A"/>
    <w:rsid w:val="00B52AA0"/>
    <w:rsid w:val="00B544F1"/>
    <w:rsid w:val="00B55872"/>
    <w:rsid w:val="00B56EFE"/>
    <w:rsid w:val="00B635ED"/>
    <w:rsid w:val="00B65701"/>
    <w:rsid w:val="00B6638D"/>
    <w:rsid w:val="00B701B1"/>
    <w:rsid w:val="00B717E8"/>
    <w:rsid w:val="00B71D49"/>
    <w:rsid w:val="00B71F98"/>
    <w:rsid w:val="00B721D1"/>
    <w:rsid w:val="00B73117"/>
    <w:rsid w:val="00B7628E"/>
    <w:rsid w:val="00B772CE"/>
    <w:rsid w:val="00B8275A"/>
    <w:rsid w:val="00B916CD"/>
    <w:rsid w:val="00B97EA4"/>
    <w:rsid w:val="00BA4D99"/>
    <w:rsid w:val="00BA742E"/>
    <w:rsid w:val="00BB02BB"/>
    <w:rsid w:val="00BB05A3"/>
    <w:rsid w:val="00BB58AB"/>
    <w:rsid w:val="00BC0F85"/>
    <w:rsid w:val="00BC1B19"/>
    <w:rsid w:val="00BC1FC1"/>
    <w:rsid w:val="00BC3600"/>
    <w:rsid w:val="00BC55E6"/>
    <w:rsid w:val="00BC5AD5"/>
    <w:rsid w:val="00BC69A2"/>
    <w:rsid w:val="00BC78D2"/>
    <w:rsid w:val="00BD3CA5"/>
    <w:rsid w:val="00BD78B7"/>
    <w:rsid w:val="00BE1DF3"/>
    <w:rsid w:val="00BE2282"/>
    <w:rsid w:val="00BE4AED"/>
    <w:rsid w:val="00BE62E1"/>
    <w:rsid w:val="00BF1C39"/>
    <w:rsid w:val="00BF380B"/>
    <w:rsid w:val="00BF39CC"/>
    <w:rsid w:val="00BF3DDC"/>
    <w:rsid w:val="00BF6B65"/>
    <w:rsid w:val="00C04609"/>
    <w:rsid w:val="00C04D5E"/>
    <w:rsid w:val="00C1096E"/>
    <w:rsid w:val="00C1259B"/>
    <w:rsid w:val="00C13F41"/>
    <w:rsid w:val="00C16CC2"/>
    <w:rsid w:val="00C2245E"/>
    <w:rsid w:val="00C244DC"/>
    <w:rsid w:val="00C27EB5"/>
    <w:rsid w:val="00C404AD"/>
    <w:rsid w:val="00C40C23"/>
    <w:rsid w:val="00C43AD2"/>
    <w:rsid w:val="00C45B69"/>
    <w:rsid w:val="00C508C6"/>
    <w:rsid w:val="00C50AA7"/>
    <w:rsid w:val="00C53333"/>
    <w:rsid w:val="00C601D2"/>
    <w:rsid w:val="00C64AD2"/>
    <w:rsid w:val="00C6775D"/>
    <w:rsid w:val="00C67C19"/>
    <w:rsid w:val="00C72697"/>
    <w:rsid w:val="00C733F4"/>
    <w:rsid w:val="00C74DB0"/>
    <w:rsid w:val="00C74DCF"/>
    <w:rsid w:val="00C76061"/>
    <w:rsid w:val="00C76F34"/>
    <w:rsid w:val="00C808E3"/>
    <w:rsid w:val="00C813E3"/>
    <w:rsid w:val="00C84288"/>
    <w:rsid w:val="00C8447D"/>
    <w:rsid w:val="00C92211"/>
    <w:rsid w:val="00C92882"/>
    <w:rsid w:val="00C95C54"/>
    <w:rsid w:val="00CA1FD8"/>
    <w:rsid w:val="00CA26D8"/>
    <w:rsid w:val="00CA46E6"/>
    <w:rsid w:val="00CB3BF5"/>
    <w:rsid w:val="00CB67BF"/>
    <w:rsid w:val="00CC709B"/>
    <w:rsid w:val="00CC7F99"/>
    <w:rsid w:val="00CD3964"/>
    <w:rsid w:val="00CD768A"/>
    <w:rsid w:val="00CE03D7"/>
    <w:rsid w:val="00CE1500"/>
    <w:rsid w:val="00CE32B9"/>
    <w:rsid w:val="00CE56C0"/>
    <w:rsid w:val="00CE7853"/>
    <w:rsid w:val="00CF34CE"/>
    <w:rsid w:val="00CF449A"/>
    <w:rsid w:val="00D0174C"/>
    <w:rsid w:val="00D04E4B"/>
    <w:rsid w:val="00D13CC7"/>
    <w:rsid w:val="00D146D6"/>
    <w:rsid w:val="00D147A2"/>
    <w:rsid w:val="00D15B2B"/>
    <w:rsid w:val="00D21808"/>
    <w:rsid w:val="00D22C5D"/>
    <w:rsid w:val="00D24290"/>
    <w:rsid w:val="00D25E8E"/>
    <w:rsid w:val="00D30E1E"/>
    <w:rsid w:val="00D32C55"/>
    <w:rsid w:val="00D35550"/>
    <w:rsid w:val="00D40D3B"/>
    <w:rsid w:val="00D41E85"/>
    <w:rsid w:val="00D42EC4"/>
    <w:rsid w:val="00D43E29"/>
    <w:rsid w:val="00D44839"/>
    <w:rsid w:val="00D457B6"/>
    <w:rsid w:val="00D4596D"/>
    <w:rsid w:val="00D50119"/>
    <w:rsid w:val="00D54D63"/>
    <w:rsid w:val="00D5789A"/>
    <w:rsid w:val="00D57EF0"/>
    <w:rsid w:val="00D60693"/>
    <w:rsid w:val="00D61259"/>
    <w:rsid w:val="00D62A5A"/>
    <w:rsid w:val="00D637C4"/>
    <w:rsid w:val="00D639FB"/>
    <w:rsid w:val="00D64C9C"/>
    <w:rsid w:val="00D6529D"/>
    <w:rsid w:val="00D66E65"/>
    <w:rsid w:val="00D71CCF"/>
    <w:rsid w:val="00D72411"/>
    <w:rsid w:val="00D76E3E"/>
    <w:rsid w:val="00D77D86"/>
    <w:rsid w:val="00D87763"/>
    <w:rsid w:val="00D8783E"/>
    <w:rsid w:val="00D90CC9"/>
    <w:rsid w:val="00D94C78"/>
    <w:rsid w:val="00D9652D"/>
    <w:rsid w:val="00D97B60"/>
    <w:rsid w:val="00DA07B3"/>
    <w:rsid w:val="00DA0BDD"/>
    <w:rsid w:val="00DA1F7A"/>
    <w:rsid w:val="00DA4700"/>
    <w:rsid w:val="00DA4BB4"/>
    <w:rsid w:val="00DA5CC2"/>
    <w:rsid w:val="00DA6D17"/>
    <w:rsid w:val="00DB07C2"/>
    <w:rsid w:val="00DB18F5"/>
    <w:rsid w:val="00DB1CE5"/>
    <w:rsid w:val="00DB5011"/>
    <w:rsid w:val="00DB6F3B"/>
    <w:rsid w:val="00DC2772"/>
    <w:rsid w:val="00DC2A41"/>
    <w:rsid w:val="00DC30A8"/>
    <w:rsid w:val="00DC3601"/>
    <w:rsid w:val="00DC3FCB"/>
    <w:rsid w:val="00DC65B7"/>
    <w:rsid w:val="00DD46C5"/>
    <w:rsid w:val="00DD4A26"/>
    <w:rsid w:val="00DF0873"/>
    <w:rsid w:val="00DF1C6C"/>
    <w:rsid w:val="00DF373A"/>
    <w:rsid w:val="00E02263"/>
    <w:rsid w:val="00E05CE2"/>
    <w:rsid w:val="00E06353"/>
    <w:rsid w:val="00E07B78"/>
    <w:rsid w:val="00E12ACD"/>
    <w:rsid w:val="00E1340B"/>
    <w:rsid w:val="00E143BE"/>
    <w:rsid w:val="00E22ED0"/>
    <w:rsid w:val="00E231BE"/>
    <w:rsid w:val="00E2529A"/>
    <w:rsid w:val="00E31E54"/>
    <w:rsid w:val="00E36144"/>
    <w:rsid w:val="00E36315"/>
    <w:rsid w:val="00E36D0B"/>
    <w:rsid w:val="00E416F9"/>
    <w:rsid w:val="00E43921"/>
    <w:rsid w:val="00E45E70"/>
    <w:rsid w:val="00E531B8"/>
    <w:rsid w:val="00E53DC2"/>
    <w:rsid w:val="00E53EE9"/>
    <w:rsid w:val="00E54644"/>
    <w:rsid w:val="00E55A04"/>
    <w:rsid w:val="00E5651B"/>
    <w:rsid w:val="00E60F83"/>
    <w:rsid w:val="00E6439F"/>
    <w:rsid w:val="00E64C3A"/>
    <w:rsid w:val="00E64DC0"/>
    <w:rsid w:val="00E707BF"/>
    <w:rsid w:val="00E83413"/>
    <w:rsid w:val="00E85F50"/>
    <w:rsid w:val="00E86A93"/>
    <w:rsid w:val="00E93F73"/>
    <w:rsid w:val="00E94791"/>
    <w:rsid w:val="00EA1FB8"/>
    <w:rsid w:val="00EA45D4"/>
    <w:rsid w:val="00EA4AEE"/>
    <w:rsid w:val="00EA60AC"/>
    <w:rsid w:val="00EA6C09"/>
    <w:rsid w:val="00EB1053"/>
    <w:rsid w:val="00EB34AA"/>
    <w:rsid w:val="00EB7C56"/>
    <w:rsid w:val="00EC1007"/>
    <w:rsid w:val="00EC2807"/>
    <w:rsid w:val="00ED2B03"/>
    <w:rsid w:val="00ED43C2"/>
    <w:rsid w:val="00ED5CBC"/>
    <w:rsid w:val="00ED6E43"/>
    <w:rsid w:val="00EE0527"/>
    <w:rsid w:val="00EE07F6"/>
    <w:rsid w:val="00EE56A6"/>
    <w:rsid w:val="00EE6CB4"/>
    <w:rsid w:val="00EE77E4"/>
    <w:rsid w:val="00EF1D74"/>
    <w:rsid w:val="00EF27B8"/>
    <w:rsid w:val="00F05048"/>
    <w:rsid w:val="00F06BC0"/>
    <w:rsid w:val="00F06F93"/>
    <w:rsid w:val="00F077B2"/>
    <w:rsid w:val="00F11044"/>
    <w:rsid w:val="00F13701"/>
    <w:rsid w:val="00F15951"/>
    <w:rsid w:val="00F17284"/>
    <w:rsid w:val="00F213FA"/>
    <w:rsid w:val="00F24A65"/>
    <w:rsid w:val="00F329DD"/>
    <w:rsid w:val="00F34A56"/>
    <w:rsid w:val="00F35034"/>
    <w:rsid w:val="00F357CE"/>
    <w:rsid w:val="00F36121"/>
    <w:rsid w:val="00F40E93"/>
    <w:rsid w:val="00F43F82"/>
    <w:rsid w:val="00F44C92"/>
    <w:rsid w:val="00F47CE8"/>
    <w:rsid w:val="00F52003"/>
    <w:rsid w:val="00F53D5B"/>
    <w:rsid w:val="00F8184B"/>
    <w:rsid w:val="00F82218"/>
    <w:rsid w:val="00F85518"/>
    <w:rsid w:val="00F8612E"/>
    <w:rsid w:val="00F91FBB"/>
    <w:rsid w:val="00F9218B"/>
    <w:rsid w:val="00F93A59"/>
    <w:rsid w:val="00F94C7F"/>
    <w:rsid w:val="00F94ECB"/>
    <w:rsid w:val="00F95038"/>
    <w:rsid w:val="00FA0A27"/>
    <w:rsid w:val="00FA6CD1"/>
    <w:rsid w:val="00FB00CA"/>
    <w:rsid w:val="00FB261F"/>
    <w:rsid w:val="00FB39BC"/>
    <w:rsid w:val="00FC019C"/>
    <w:rsid w:val="00FC68C0"/>
    <w:rsid w:val="00FD23C1"/>
    <w:rsid w:val="00FD4E7F"/>
    <w:rsid w:val="00FD5F2E"/>
    <w:rsid w:val="00FD66BC"/>
    <w:rsid w:val="00FD6FD0"/>
    <w:rsid w:val="00FE01CE"/>
    <w:rsid w:val="00FE0909"/>
    <w:rsid w:val="00FE1566"/>
    <w:rsid w:val="00FE1A56"/>
    <w:rsid w:val="00FE3053"/>
    <w:rsid w:val="00FE4EAF"/>
    <w:rsid w:val="00FE71FC"/>
    <w:rsid w:val="00FF45BB"/>
    <w:rsid w:val="00FF70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7AEE"/>
  <w15:chartTrackingRefBased/>
  <w15:docId w15:val="{10D655C3-E820-4982-801D-19080789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A7"/>
    <w:pPr>
      <w:spacing w:after="0" w:line="240" w:lineRule="auto"/>
    </w:pPr>
    <w:rPr>
      <w:rFonts w:eastAsiaTheme="minorEastAsia"/>
      <w:sz w:val="24"/>
      <w:szCs w:val="24"/>
      <w:lang w:val="en-US" w:eastAsia="ja-JP"/>
    </w:rPr>
  </w:style>
  <w:style w:type="paragraph" w:styleId="Heading1">
    <w:name w:val="heading 1"/>
    <w:basedOn w:val="Normal"/>
    <w:next w:val="Normal"/>
    <w:link w:val="Heading1Char"/>
    <w:rsid w:val="00D21808"/>
    <w:pPr>
      <w:keepNext/>
      <w:keepLines/>
      <w:spacing w:before="240" w:after="120" w:line="540" w:lineRule="exact"/>
      <w:ind w:left="720"/>
      <w:outlineLvl w:val="0"/>
    </w:pPr>
    <w:rPr>
      <w:rFonts w:ascii="Calibri" w:eastAsiaTheme="majorEastAsia" w:hAnsi="Calibri" w:cstheme="majorBidi"/>
      <w:b/>
      <w:bCs/>
      <w:color w:val="C4262E"/>
      <w:sz w:val="48"/>
      <w:szCs w:val="32"/>
    </w:rPr>
  </w:style>
  <w:style w:type="paragraph" w:styleId="Heading2">
    <w:name w:val="heading 2"/>
    <w:basedOn w:val="Normal"/>
    <w:next w:val="Normal"/>
    <w:link w:val="Heading2Char"/>
    <w:rsid w:val="00D21808"/>
    <w:pPr>
      <w:keepNext/>
      <w:keepLines/>
      <w:spacing w:before="200"/>
      <w:ind w:left="720"/>
      <w:outlineLvl w:val="1"/>
    </w:pPr>
    <w:rPr>
      <w:rFonts w:ascii="Calibri" w:eastAsiaTheme="majorEastAsia" w:hAnsi="Calibri" w:cstheme="majorBidi"/>
      <w:b/>
      <w:bCs/>
      <w:color w:val="0075B0"/>
      <w:sz w:val="32"/>
      <w:szCs w:val="26"/>
    </w:rPr>
  </w:style>
  <w:style w:type="paragraph" w:styleId="Heading3">
    <w:name w:val="heading 3"/>
    <w:basedOn w:val="Normal"/>
    <w:next w:val="Normal"/>
    <w:link w:val="Heading3Char"/>
    <w:rsid w:val="00010EA7"/>
    <w:pPr>
      <w:keepNext/>
      <w:keepLines/>
      <w:spacing w:before="200"/>
      <w:ind w:left="720"/>
      <w:outlineLvl w:val="2"/>
    </w:pPr>
    <w:rPr>
      <w:rFonts w:asciiTheme="majorHAnsi" w:eastAsiaTheme="majorEastAsia" w:hAnsiTheme="majorHAnsi" w:cstheme="majorBidi"/>
      <w:b/>
      <w:bCs/>
      <w:color w:val="4D4D4F"/>
    </w:rPr>
  </w:style>
  <w:style w:type="paragraph" w:styleId="Heading5">
    <w:name w:val="heading 5"/>
    <w:basedOn w:val="Normal"/>
    <w:next w:val="Normal"/>
    <w:link w:val="Heading5Char"/>
    <w:rsid w:val="00010E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rsid w:val="00010EA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EA7"/>
    <w:pPr>
      <w:ind w:left="720"/>
      <w:contextualSpacing/>
    </w:pPr>
    <w:rPr>
      <w:rFonts w:eastAsiaTheme="minorHAnsi"/>
      <w:sz w:val="22"/>
      <w:szCs w:val="22"/>
      <w:lang w:val="en-CA" w:eastAsia="en-US"/>
    </w:rPr>
  </w:style>
  <w:style w:type="character" w:styleId="Hyperlink">
    <w:name w:val="Hyperlink"/>
    <w:basedOn w:val="DefaultParagraphFont"/>
    <w:uiPriority w:val="99"/>
    <w:unhideWhenUsed/>
    <w:rsid w:val="00010EA7"/>
    <w:rPr>
      <w:color w:val="0563C1" w:themeColor="hyperlink"/>
      <w:u w:val="single"/>
    </w:rPr>
  </w:style>
  <w:style w:type="character" w:styleId="UnresolvedMention">
    <w:name w:val="Unresolved Mention"/>
    <w:basedOn w:val="DefaultParagraphFont"/>
    <w:uiPriority w:val="99"/>
    <w:semiHidden/>
    <w:unhideWhenUsed/>
    <w:rsid w:val="009B398B"/>
    <w:rPr>
      <w:color w:val="605E5C"/>
      <w:shd w:val="clear" w:color="auto" w:fill="E1DFDD"/>
    </w:rPr>
  </w:style>
  <w:style w:type="paragraph" w:styleId="Header">
    <w:name w:val="header"/>
    <w:basedOn w:val="Normal"/>
    <w:link w:val="HeaderChar"/>
    <w:uiPriority w:val="99"/>
    <w:unhideWhenUsed/>
    <w:rsid w:val="00010EA7"/>
    <w:pPr>
      <w:tabs>
        <w:tab w:val="center" w:pos="4320"/>
        <w:tab w:val="right" w:pos="8640"/>
      </w:tabs>
    </w:pPr>
  </w:style>
  <w:style w:type="character" w:customStyle="1" w:styleId="HeaderChar">
    <w:name w:val="Header Char"/>
    <w:basedOn w:val="DefaultParagraphFont"/>
    <w:link w:val="Header"/>
    <w:uiPriority w:val="99"/>
    <w:rsid w:val="00010EA7"/>
    <w:rPr>
      <w:rFonts w:eastAsiaTheme="minorEastAsia"/>
      <w:sz w:val="24"/>
      <w:szCs w:val="24"/>
      <w:lang w:val="en-US" w:eastAsia="ja-JP"/>
    </w:rPr>
  </w:style>
  <w:style w:type="paragraph" w:styleId="Footer">
    <w:name w:val="footer"/>
    <w:basedOn w:val="Normal"/>
    <w:link w:val="FooterChar"/>
    <w:uiPriority w:val="99"/>
    <w:unhideWhenUsed/>
    <w:rsid w:val="00010EA7"/>
    <w:pPr>
      <w:tabs>
        <w:tab w:val="center" w:pos="4320"/>
        <w:tab w:val="right" w:pos="8640"/>
      </w:tabs>
    </w:pPr>
  </w:style>
  <w:style w:type="character" w:customStyle="1" w:styleId="FooterChar">
    <w:name w:val="Footer Char"/>
    <w:basedOn w:val="DefaultParagraphFont"/>
    <w:link w:val="Footer"/>
    <w:uiPriority w:val="99"/>
    <w:rsid w:val="00010EA7"/>
    <w:rPr>
      <w:rFonts w:eastAsiaTheme="minorEastAsia"/>
      <w:sz w:val="24"/>
      <w:szCs w:val="24"/>
      <w:lang w:val="en-US" w:eastAsia="ja-JP"/>
    </w:rPr>
  </w:style>
  <w:style w:type="character" w:styleId="CommentReference">
    <w:name w:val="annotation reference"/>
    <w:basedOn w:val="DefaultParagraphFont"/>
    <w:uiPriority w:val="99"/>
    <w:semiHidden/>
    <w:unhideWhenUsed/>
    <w:rsid w:val="004D7CB2"/>
    <w:rPr>
      <w:sz w:val="16"/>
      <w:szCs w:val="16"/>
    </w:rPr>
  </w:style>
  <w:style w:type="paragraph" w:styleId="CommentText">
    <w:name w:val="annotation text"/>
    <w:basedOn w:val="Normal"/>
    <w:link w:val="CommentTextChar"/>
    <w:uiPriority w:val="99"/>
    <w:unhideWhenUsed/>
    <w:rsid w:val="004D7CB2"/>
    <w:rPr>
      <w:sz w:val="20"/>
      <w:szCs w:val="20"/>
    </w:rPr>
  </w:style>
  <w:style w:type="character" w:customStyle="1" w:styleId="CommentTextChar">
    <w:name w:val="Comment Text Char"/>
    <w:basedOn w:val="DefaultParagraphFont"/>
    <w:link w:val="CommentText"/>
    <w:uiPriority w:val="99"/>
    <w:rsid w:val="004D7CB2"/>
    <w:rPr>
      <w:sz w:val="20"/>
      <w:szCs w:val="20"/>
    </w:rPr>
  </w:style>
  <w:style w:type="paragraph" w:styleId="CommentSubject">
    <w:name w:val="annotation subject"/>
    <w:basedOn w:val="CommentText"/>
    <w:next w:val="CommentText"/>
    <w:link w:val="CommentSubjectChar"/>
    <w:uiPriority w:val="99"/>
    <w:semiHidden/>
    <w:unhideWhenUsed/>
    <w:rsid w:val="004D7CB2"/>
    <w:rPr>
      <w:b/>
      <w:bCs/>
    </w:rPr>
  </w:style>
  <w:style w:type="character" w:customStyle="1" w:styleId="CommentSubjectChar">
    <w:name w:val="Comment Subject Char"/>
    <w:basedOn w:val="CommentTextChar"/>
    <w:link w:val="CommentSubject"/>
    <w:uiPriority w:val="99"/>
    <w:semiHidden/>
    <w:rsid w:val="004D7CB2"/>
    <w:rPr>
      <w:b/>
      <w:bCs/>
      <w:sz w:val="20"/>
      <w:szCs w:val="20"/>
    </w:rPr>
  </w:style>
  <w:style w:type="paragraph" w:styleId="Revision">
    <w:name w:val="Revision"/>
    <w:hidden/>
    <w:uiPriority w:val="99"/>
    <w:semiHidden/>
    <w:rsid w:val="00274130"/>
    <w:pPr>
      <w:spacing w:after="0" w:line="240" w:lineRule="auto"/>
    </w:pPr>
  </w:style>
  <w:style w:type="paragraph" w:customStyle="1" w:styleId="Default">
    <w:name w:val="Default"/>
    <w:rsid w:val="00BC78D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010EA7"/>
    <w:pPr>
      <w:spacing w:beforeLines="1" w:afterLines="1"/>
    </w:pPr>
    <w:rPr>
      <w:rFonts w:ascii="Times" w:hAnsi="Times" w:cs="Times New Roman"/>
      <w:sz w:val="20"/>
      <w:szCs w:val="20"/>
    </w:rPr>
  </w:style>
  <w:style w:type="paragraph" w:styleId="FootnoteText">
    <w:name w:val="footnote text"/>
    <w:basedOn w:val="Normal"/>
    <w:link w:val="FootnoteTextChar"/>
    <w:uiPriority w:val="99"/>
    <w:semiHidden/>
    <w:unhideWhenUsed/>
    <w:rsid w:val="00010EA7"/>
    <w:rPr>
      <w:rFonts w:eastAsiaTheme="minorHAnsi"/>
      <w:sz w:val="20"/>
      <w:szCs w:val="20"/>
      <w:lang w:val="en-CA" w:eastAsia="en-US"/>
    </w:rPr>
  </w:style>
  <w:style w:type="character" w:customStyle="1" w:styleId="FootnoteTextChar">
    <w:name w:val="Footnote Text Char"/>
    <w:basedOn w:val="DefaultParagraphFont"/>
    <w:link w:val="FootnoteText"/>
    <w:uiPriority w:val="99"/>
    <w:semiHidden/>
    <w:rsid w:val="00010EA7"/>
    <w:rPr>
      <w:sz w:val="20"/>
      <w:szCs w:val="20"/>
    </w:rPr>
  </w:style>
  <w:style w:type="character" w:styleId="FootnoteReference">
    <w:name w:val="footnote reference"/>
    <w:basedOn w:val="DefaultParagraphFont"/>
    <w:uiPriority w:val="99"/>
    <w:semiHidden/>
    <w:unhideWhenUsed/>
    <w:rsid w:val="00010EA7"/>
    <w:rPr>
      <w:vertAlign w:val="superscript"/>
    </w:rPr>
  </w:style>
  <w:style w:type="character" w:styleId="Strong">
    <w:name w:val="Strong"/>
    <w:basedOn w:val="DefaultParagraphFont"/>
    <w:uiPriority w:val="22"/>
    <w:qFormat/>
    <w:rsid w:val="00603D4B"/>
    <w:rPr>
      <w:b/>
      <w:bCs/>
    </w:rPr>
  </w:style>
  <w:style w:type="table" w:styleId="TableGrid">
    <w:name w:val="Table Grid"/>
    <w:basedOn w:val="TableNormal"/>
    <w:uiPriority w:val="39"/>
    <w:rsid w:val="0001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0EA7"/>
    <w:pPr>
      <w:spacing w:after="173" w:line="300" w:lineRule="exact"/>
      <w:ind w:left="720"/>
    </w:pPr>
    <w:rPr>
      <w:rFonts w:ascii="Calibri" w:hAnsi="Calibri"/>
      <w:color w:val="4D4D4F"/>
    </w:rPr>
  </w:style>
  <w:style w:type="character" w:customStyle="1" w:styleId="BodyTextChar">
    <w:name w:val="Body Text Char"/>
    <w:basedOn w:val="DefaultParagraphFont"/>
    <w:link w:val="BodyText"/>
    <w:rsid w:val="00010EA7"/>
    <w:rPr>
      <w:rFonts w:ascii="Calibri" w:eastAsiaTheme="minorEastAsia" w:hAnsi="Calibri"/>
      <w:color w:val="4D4D4F"/>
      <w:sz w:val="24"/>
      <w:szCs w:val="24"/>
      <w:lang w:val="en-US" w:eastAsia="ja-JP"/>
    </w:rPr>
  </w:style>
  <w:style w:type="character" w:customStyle="1" w:styleId="Heading1Char">
    <w:name w:val="Heading 1 Char"/>
    <w:basedOn w:val="DefaultParagraphFont"/>
    <w:link w:val="Heading1"/>
    <w:rsid w:val="00D21808"/>
    <w:rPr>
      <w:rFonts w:ascii="Calibri" w:eastAsiaTheme="majorEastAsia" w:hAnsi="Calibri" w:cstheme="majorBidi"/>
      <w:b/>
      <w:bCs/>
      <w:color w:val="C4262E"/>
      <w:sz w:val="48"/>
      <w:szCs w:val="32"/>
      <w:lang w:val="en-US" w:eastAsia="ja-JP"/>
    </w:rPr>
  </w:style>
  <w:style w:type="character" w:customStyle="1" w:styleId="Heading2Char">
    <w:name w:val="Heading 2 Char"/>
    <w:basedOn w:val="DefaultParagraphFont"/>
    <w:link w:val="Heading2"/>
    <w:rsid w:val="00D21808"/>
    <w:rPr>
      <w:rFonts w:ascii="Calibri" w:eastAsiaTheme="majorEastAsia" w:hAnsi="Calibri" w:cstheme="majorBidi"/>
      <w:b/>
      <w:bCs/>
      <w:color w:val="0075B0"/>
      <w:sz w:val="32"/>
      <w:szCs w:val="26"/>
      <w:lang w:val="en-US" w:eastAsia="ja-JP"/>
    </w:rPr>
  </w:style>
  <w:style w:type="character" w:customStyle="1" w:styleId="Heading3Char">
    <w:name w:val="Heading 3 Char"/>
    <w:basedOn w:val="DefaultParagraphFont"/>
    <w:link w:val="Heading3"/>
    <w:rsid w:val="00010EA7"/>
    <w:rPr>
      <w:rFonts w:asciiTheme="majorHAnsi" w:eastAsiaTheme="majorEastAsia" w:hAnsiTheme="majorHAnsi" w:cstheme="majorBidi"/>
      <w:b/>
      <w:bCs/>
      <w:color w:val="4D4D4F"/>
      <w:sz w:val="24"/>
      <w:szCs w:val="24"/>
      <w:lang w:val="en-US" w:eastAsia="ja-JP"/>
    </w:rPr>
  </w:style>
  <w:style w:type="character" w:customStyle="1" w:styleId="Heading5Char">
    <w:name w:val="Heading 5 Char"/>
    <w:basedOn w:val="DefaultParagraphFont"/>
    <w:link w:val="Heading5"/>
    <w:rsid w:val="00010EA7"/>
    <w:rPr>
      <w:rFonts w:asciiTheme="majorHAnsi" w:eastAsiaTheme="majorEastAsia" w:hAnsiTheme="majorHAnsi" w:cstheme="majorBidi"/>
      <w:color w:val="2F5496" w:themeColor="accent1" w:themeShade="BF"/>
      <w:sz w:val="24"/>
      <w:szCs w:val="24"/>
      <w:lang w:val="en-US" w:eastAsia="ja-JP"/>
    </w:rPr>
  </w:style>
  <w:style w:type="character" w:customStyle="1" w:styleId="Heading6Char">
    <w:name w:val="Heading 6 Char"/>
    <w:basedOn w:val="DefaultParagraphFont"/>
    <w:link w:val="Heading6"/>
    <w:rsid w:val="00010EA7"/>
    <w:rPr>
      <w:rFonts w:asciiTheme="majorHAnsi" w:eastAsiaTheme="majorEastAsia" w:hAnsiTheme="majorHAnsi" w:cstheme="majorBidi"/>
      <w:color w:val="1F3763" w:themeColor="accent1" w:themeShade="7F"/>
      <w:sz w:val="24"/>
      <w:szCs w:val="24"/>
      <w:lang w:val="en-US" w:eastAsia="ja-JP"/>
    </w:rPr>
  </w:style>
  <w:style w:type="paragraph" w:styleId="BlockText">
    <w:name w:val="Block Text"/>
    <w:basedOn w:val="Normal"/>
    <w:rsid w:val="00010EA7"/>
    <w:pPr>
      <w:ind w:left="113" w:right="113"/>
    </w:pPr>
    <w:rPr>
      <w:rFonts w:ascii="Arial" w:eastAsia="Times New Roman" w:hAnsi="Arial" w:cs="Arial"/>
      <w:sz w:val="22"/>
      <w:lang w:eastAsia="en-US"/>
    </w:rPr>
  </w:style>
  <w:style w:type="character" w:styleId="FollowedHyperlink">
    <w:name w:val="FollowedHyperlink"/>
    <w:basedOn w:val="DefaultParagraphFont"/>
    <w:uiPriority w:val="99"/>
    <w:semiHidden/>
    <w:unhideWhenUsed/>
    <w:rsid w:val="004E585F"/>
    <w:rPr>
      <w:color w:val="954F72" w:themeColor="followedHyperlink"/>
      <w:u w:val="single"/>
    </w:rPr>
  </w:style>
  <w:style w:type="paragraph" w:styleId="BalloonText">
    <w:name w:val="Balloon Text"/>
    <w:basedOn w:val="Normal"/>
    <w:link w:val="BalloonTextChar"/>
    <w:rsid w:val="00010EA7"/>
    <w:rPr>
      <w:rFonts w:ascii="Lucida Grande" w:hAnsi="Lucida Grande" w:cs="Lucida Grande"/>
      <w:sz w:val="18"/>
      <w:szCs w:val="18"/>
    </w:rPr>
  </w:style>
  <w:style w:type="character" w:customStyle="1" w:styleId="BalloonTextChar">
    <w:name w:val="Balloon Text Char"/>
    <w:basedOn w:val="DefaultParagraphFont"/>
    <w:link w:val="BalloonText"/>
    <w:rsid w:val="00010EA7"/>
    <w:rPr>
      <w:rFonts w:ascii="Lucida Grande" w:eastAsiaTheme="minorEastAsia" w:hAnsi="Lucida Grande" w:cs="Lucida Grande"/>
      <w:sz w:val="18"/>
      <w:szCs w:val="18"/>
      <w:lang w:val="en-US" w:eastAsia="ja-JP"/>
    </w:rPr>
  </w:style>
  <w:style w:type="paragraph" w:styleId="NoSpacing">
    <w:name w:val="No Spacing"/>
    <w:link w:val="NoSpacingChar"/>
    <w:uiPriority w:val="1"/>
    <w:qFormat/>
    <w:rsid w:val="00010EA7"/>
    <w:pPr>
      <w:spacing w:after="0" w:line="240" w:lineRule="auto"/>
    </w:pPr>
    <w:rPr>
      <w:rFonts w:ascii="PMingLiU" w:eastAsiaTheme="minorEastAsia" w:hAnsi="PMingLiU"/>
      <w:lang w:val="en-US" w:eastAsia="ja-JP"/>
    </w:rPr>
  </w:style>
  <w:style w:type="character" w:customStyle="1" w:styleId="NoSpacingChar">
    <w:name w:val="No Spacing Char"/>
    <w:basedOn w:val="DefaultParagraphFont"/>
    <w:link w:val="NoSpacing"/>
    <w:rsid w:val="00010EA7"/>
    <w:rPr>
      <w:rFonts w:ascii="PMingLiU" w:eastAsiaTheme="minorEastAsia" w:hAnsi="PMingLiU"/>
      <w:lang w:val="en-US" w:eastAsia="ja-JP"/>
    </w:rPr>
  </w:style>
  <w:style w:type="character" w:styleId="PageNumber">
    <w:name w:val="page number"/>
    <w:basedOn w:val="DefaultParagraphFont"/>
    <w:rsid w:val="00010EA7"/>
  </w:style>
  <w:style w:type="paragraph" w:customStyle="1" w:styleId="SpecialCallOut">
    <w:name w:val="Special Call Out"/>
    <w:basedOn w:val="BodyText"/>
    <w:qFormat/>
    <w:rsid w:val="00010EA7"/>
    <w:pPr>
      <w:ind w:left="1530" w:right="720"/>
    </w:pPr>
  </w:style>
  <w:style w:type="paragraph" w:styleId="TOC1">
    <w:name w:val="toc 1"/>
    <w:basedOn w:val="Normal"/>
    <w:next w:val="Normal"/>
    <w:autoRedefine/>
    <w:uiPriority w:val="39"/>
    <w:unhideWhenUsed/>
    <w:rsid w:val="006C395E"/>
    <w:pPr>
      <w:numPr>
        <w:numId w:val="1"/>
      </w:numPr>
      <w:tabs>
        <w:tab w:val="right" w:leader="dot" w:pos="11430"/>
      </w:tabs>
      <w:spacing w:after="100"/>
    </w:pPr>
  </w:style>
  <w:style w:type="paragraph" w:styleId="TOC2">
    <w:name w:val="toc 2"/>
    <w:basedOn w:val="Normal"/>
    <w:next w:val="Normal"/>
    <w:autoRedefine/>
    <w:uiPriority w:val="39"/>
    <w:unhideWhenUsed/>
    <w:rsid w:val="006C395E"/>
    <w:pPr>
      <w:tabs>
        <w:tab w:val="right" w:leader="dot" w:pos="11430"/>
      </w:tabs>
      <w:spacing w:after="100"/>
      <w:ind w:left="720"/>
    </w:pPr>
  </w:style>
  <w:style w:type="paragraph" w:styleId="TOC3">
    <w:name w:val="toc 3"/>
    <w:basedOn w:val="Normal"/>
    <w:next w:val="Normal"/>
    <w:autoRedefine/>
    <w:uiPriority w:val="39"/>
    <w:unhideWhenUsed/>
    <w:rsid w:val="00010EA7"/>
    <w:pPr>
      <w:spacing w:after="100"/>
      <w:ind w:left="480"/>
    </w:pPr>
  </w:style>
  <w:style w:type="paragraph" w:styleId="TOCHeading">
    <w:name w:val="TOC Heading"/>
    <w:basedOn w:val="Heading1"/>
    <w:next w:val="Normal"/>
    <w:uiPriority w:val="39"/>
    <w:unhideWhenUsed/>
    <w:qFormat/>
    <w:rsid w:val="00010EA7"/>
    <w:pPr>
      <w:spacing w:after="0" w:line="259" w:lineRule="auto"/>
      <w:ind w:left="0"/>
      <w:outlineLvl w:val="9"/>
    </w:pPr>
    <w:rPr>
      <w:b w:val="0"/>
      <w:bCs w:val="0"/>
      <w:color w:val="2F5496" w:themeColor="accent1" w:themeShade="BF"/>
      <w:sz w:val="32"/>
      <w:lang w:eastAsia="en-US"/>
    </w:rPr>
  </w:style>
  <w:style w:type="paragraph" w:customStyle="1" w:styleId="xmsonormal">
    <w:name w:val="x_msonormal"/>
    <w:basedOn w:val="Normal"/>
    <w:rsid w:val="002A13B4"/>
    <w:rPr>
      <w:rFonts w:ascii="Calibri" w:eastAsiaTheme="minorHAnsi" w:hAnsi="Calibri" w:cs="Calibri"/>
      <w:sz w:val="22"/>
      <w:szCs w:val="22"/>
      <w:lang w:val="en-CA" w:eastAsia="en-CA"/>
    </w:rPr>
  </w:style>
  <w:style w:type="character" w:customStyle="1" w:styleId="markedcontent">
    <w:name w:val="markedcontent"/>
    <w:basedOn w:val="DefaultParagraphFont"/>
    <w:rsid w:val="0033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2098">
      <w:bodyDiv w:val="1"/>
      <w:marLeft w:val="0"/>
      <w:marRight w:val="0"/>
      <w:marTop w:val="0"/>
      <w:marBottom w:val="0"/>
      <w:divBdr>
        <w:top w:val="none" w:sz="0" w:space="0" w:color="auto"/>
        <w:left w:val="none" w:sz="0" w:space="0" w:color="auto"/>
        <w:bottom w:val="none" w:sz="0" w:space="0" w:color="auto"/>
        <w:right w:val="none" w:sz="0" w:space="0" w:color="auto"/>
      </w:divBdr>
    </w:div>
    <w:div w:id="155077095">
      <w:bodyDiv w:val="1"/>
      <w:marLeft w:val="0"/>
      <w:marRight w:val="0"/>
      <w:marTop w:val="0"/>
      <w:marBottom w:val="0"/>
      <w:divBdr>
        <w:top w:val="none" w:sz="0" w:space="0" w:color="auto"/>
        <w:left w:val="none" w:sz="0" w:space="0" w:color="auto"/>
        <w:bottom w:val="none" w:sz="0" w:space="0" w:color="auto"/>
        <w:right w:val="none" w:sz="0" w:space="0" w:color="auto"/>
      </w:divBdr>
    </w:div>
    <w:div w:id="246154900">
      <w:bodyDiv w:val="1"/>
      <w:marLeft w:val="0"/>
      <w:marRight w:val="0"/>
      <w:marTop w:val="0"/>
      <w:marBottom w:val="0"/>
      <w:divBdr>
        <w:top w:val="none" w:sz="0" w:space="0" w:color="auto"/>
        <w:left w:val="none" w:sz="0" w:space="0" w:color="auto"/>
        <w:bottom w:val="none" w:sz="0" w:space="0" w:color="auto"/>
        <w:right w:val="none" w:sz="0" w:space="0" w:color="auto"/>
      </w:divBdr>
    </w:div>
    <w:div w:id="845561518">
      <w:bodyDiv w:val="1"/>
      <w:marLeft w:val="0"/>
      <w:marRight w:val="0"/>
      <w:marTop w:val="0"/>
      <w:marBottom w:val="0"/>
      <w:divBdr>
        <w:top w:val="none" w:sz="0" w:space="0" w:color="auto"/>
        <w:left w:val="none" w:sz="0" w:space="0" w:color="auto"/>
        <w:bottom w:val="none" w:sz="0" w:space="0" w:color="auto"/>
        <w:right w:val="none" w:sz="0" w:space="0" w:color="auto"/>
      </w:divBdr>
    </w:div>
    <w:div w:id="979264312">
      <w:bodyDiv w:val="1"/>
      <w:marLeft w:val="0"/>
      <w:marRight w:val="0"/>
      <w:marTop w:val="0"/>
      <w:marBottom w:val="0"/>
      <w:divBdr>
        <w:top w:val="none" w:sz="0" w:space="0" w:color="auto"/>
        <w:left w:val="none" w:sz="0" w:space="0" w:color="auto"/>
        <w:bottom w:val="none" w:sz="0" w:space="0" w:color="auto"/>
        <w:right w:val="none" w:sz="0" w:space="0" w:color="auto"/>
      </w:divBdr>
      <w:divsChild>
        <w:div w:id="794057152">
          <w:marLeft w:val="0"/>
          <w:marRight w:val="0"/>
          <w:marTop w:val="0"/>
          <w:marBottom w:val="0"/>
          <w:divBdr>
            <w:top w:val="none" w:sz="0" w:space="0" w:color="auto"/>
            <w:left w:val="none" w:sz="0" w:space="0" w:color="auto"/>
            <w:bottom w:val="none" w:sz="0" w:space="0" w:color="auto"/>
            <w:right w:val="none" w:sz="0" w:space="0" w:color="auto"/>
          </w:divBdr>
          <w:divsChild>
            <w:div w:id="2131195907">
              <w:marLeft w:val="0"/>
              <w:marRight w:val="0"/>
              <w:marTop w:val="0"/>
              <w:marBottom w:val="0"/>
              <w:divBdr>
                <w:top w:val="none" w:sz="0" w:space="0" w:color="auto"/>
                <w:left w:val="none" w:sz="0" w:space="0" w:color="auto"/>
                <w:bottom w:val="none" w:sz="0" w:space="0" w:color="auto"/>
                <w:right w:val="none" w:sz="0" w:space="0" w:color="auto"/>
              </w:divBdr>
              <w:divsChild>
                <w:div w:id="13632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3383">
      <w:bodyDiv w:val="1"/>
      <w:marLeft w:val="0"/>
      <w:marRight w:val="0"/>
      <w:marTop w:val="0"/>
      <w:marBottom w:val="0"/>
      <w:divBdr>
        <w:top w:val="none" w:sz="0" w:space="0" w:color="auto"/>
        <w:left w:val="none" w:sz="0" w:space="0" w:color="auto"/>
        <w:bottom w:val="none" w:sz="0" w:space="0" w:color="auto"/>
        <w:right w:val="none" w:sz="0" w:space="0" w:color="auto"/>
      </w:divBdr>
    </w:div>
    <w:div w:id="1691105030">
      <w:bodyDiv w:val="1"/>
      <w:marLeft w:val="0"/>
      <w:marRight w:val="0"/>
      <w:marTop w:val="0"/>
      <w:marBottom w:val="0"/>
      <w:divBdr>
        <w:top w:val="none" w:sz="0" w:space="0" w:color="auto"/>
        <w:left w:val="none" w:sz="0" w:space="0" w:color="auto"/>
        <w:bottom w:val="none" w:sz="0" w:space="0" w:color="auto"/>
        <w:right w:val="none" w:sz="0" w:space="0" w:color="auto"/>
      </w:divBdr>
    </w:div>
    <w:div w:id="1752434378">
      <w:bodyDiv w:val="1"/>
      <w:marLeft w:val="0"/>
      <w:marRight w:val="0"/>
      <w:marTop w:val="0"/>
      <w:marBottom w:val="0"/>
      <w:divBdr>
        <w:top w:val="none" w:sz="0" w:space="0" w:color="auto"/>
        <w:left w:val="none" w:sz="0" w:space="0" w:color="auto"/>
        <w:bottom w:val="none" w:sz="0" w:space="0" w:color="auto"/>
        <w:right w:val="none" w:sz="0" w:space="0" w:color="auto"/>
      </w:divBdr>
    </w:div>
    <w:div w:id="2107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quityinthecenter.org/wp-content/uploads/2021/11/eic_aww-pub_wip_final-112021.pdf" TargetMode="External"/><Relationship Id="rId18" Type="http://schemas.openxmlformats.org/officeDocument/2006/relationships/hyperlink" Target="https://coco-net.org/white-supremacy-culture-in-organiza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hprnh2mwo3.exactdn.com/wp-content/uploads/2021/01/Calls_to_Action_English2.pdf" TargetMode="External"/><Relationship Id="rId7" Type="http://schemas.openxmlformats.org/officeDocument/2006/relationships/endnotes" Target="endnotes.xml"/><Relationship Id="rId12" Type="http://schemas.openxmlformats.org/officeDocument/2006/relationships/hyperlink" Target="https://communitywise.net/wp-content/uploads/2017/10/AROC-Resources-and-Tools_web.pdf" TargetMode="External"/><Relationship Id="rId17" Type="http://schemas.openxmlformats.org/officeDocument/2006/relationships/hyperlink" Target="https://www.lib.sfu.ca/about/branches-depts/slc/writing/inclusive-antiracist-writ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change.org/messaging-moment-handbook-progressive-communicators/" TargetMode="External"/><Relationship Id="rId20" Type="http://schemas.openxmlformats.org/officeDocument/2006/relationships/hyperlink" Target="https://coco-net.org/accessibility-on-zo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racistworkshop.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aceforward.org/practice/tools/workforce-development-racial-equity-readiness-assessment" TargetMode="External"/><Relationship Id="rId23" Type="http://schemas.openxmlformats.org/officeDocument/2006/relationships/hyperlink" Target="https://usask.cloud.panopto.eu/Panopto/Pages/Viewer.aspx?id=c62911b3-0a53-4c99-bd30-adcd015f17e1&amp;start=1.448648" TargetMode="External"/><Relationship Id="rId10" Type="http://schemas.openxmlformats.org/officeDocument/2006/relationships/hyperlink" Target="https://www.aecf.org/resources/race-equity-and-inclusion-action-guide" TargetMode="External"/><Relationship Id="rId19" Type="http://schemas.openxmlformats.org/officeDocument/2006/relationships/hyperlink" Target="https://coco-net.org/tools-for-addressing-white-supremacy-culture/" TargetMode="External"/><Relationship Id="rId4" Type="http://schemas.openxmlformats.org/officeDocument/2006/relationships/settings" Target="settings.xml"/><Relationship Id="rId9" Type="http://schemas.openxmlformats.org/officeDocument/2006/relationships/hyperlink" Target="https://oodp.ca/" TargetMode="External"/><Relationship Id="rId14" Type="http://schemas.openxmlformats.org/officeDocument/2006/relationships/hyperlink" Target="https://jhr.ca/wp-content/uploads/2017/12/JHR2017-Style-Book-Indigenous-People.pdf" TargetMode="External"/><Relationship Id="rId22" Type="http://schemas.openxmlformats.org/officeDocument/2006/relationships/hyperlink" Target="https://www.un.org/development/desa/indigenouspeoples/wp-content/uploads/sites/19/2018/11/UNDRIP_E_web.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jhr.ca/wp-content/uploads/2017/12/JHR2017-Style-Book-Indigenous-People.pdf" TargetMode="External"/><Relationship Id="rId1" Type="http://schemas.openxmlformats.org/officeDocument/2006/relationships/hyperlink" Target="https://www.lib.sfu.ca/about/branches-depts/slc/writing/inclusive-antiracist-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2983-8315-40AF-8A8F-C2618B67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Leadership Succession Planning</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Succession Planning</dc:title>
  <dc:subject/>
  <dc:creator>Dionne A. Falconer</dc:creator>
  <cp:keywords/>
  <dc:description/>
  <cp:lastModifiedBy>Radha Nayar</cp:lastModifiedBy>
  <cp:revision>2</cp:revision>
  <cp:lastPrinted>2023-10-04T21:12:00Z</cp:lastPrinted>
  <dcterms:created xsi:type="dcterms:W3CDTF">2026-05-23T22:37:00Z</dcterms:created>
  <dcterms:modified xsi:type="dcterms:W3CDTF">2026-05-23T22:37:00Z</dcterms:modified>
</cp:coreProperties>
</file>